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64E79" w14:textId="77777777" w:rsidR="00473060" w:rsidRPr="00473060" w:rsidRDefault="00473060" w:rsidP="00473060">
      <w:pPr>
        <w:rPr>
          <w:b/>
          <w:bCs/>
        </w:rPr>
      </w:pPr>
      <w:r w:rsidRPr="00473060">
        <w:rPr>
          <w:b/>
          <w:bCs/>
        </w:rPr>
        <w:t>1. Phân biệt quy định về miễn trách nhiệm hình sự (TNHS) và loại trừ trách nhiệm hình sự</w:t>
      </w:r>
    </w:p>
    <w:p w14:paraId="3B9D41FD" w14:textId="77777777" w:rsidR="00473060" w:rsidRPr="00473060" w:rsidRDefault="00473060" w:rsidP="00473060">
      <w:r w:rsidRPr="00473060">
        <w:t>Căn cứ theo quy định của Bộ luật Hình sự 2015 (sửa đổi, bổ sung 2017), hai chế định này có sự khác biệt rõ rệt về bản chất pháp lý, cụ thể được thể hiện qua bảng sau: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0"/>
        <w:gridCol w:w="4776"/>
        <w:gridCol w:w="3528"/>
      </w:tblGrid>
      <w:tr w:rsidR="00473060" w:rsidRPr="00473060" w14:paraId="609BA763"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AF94C12" w14:textId="77777777" w:rsidR="00473060" w:rsidRPr="00473060" w:rsidRDefault="00473060" w:rsidP="00473060">
            <w:r w:rsidRPr="00473060">
              <w:rPr>
                <w:b/>
                <w:bCs/>
              </w:rPr>
              <w:t>Tiêu chí phân biệt</w:t>
            </w:r>
          </w:p>
        </w:tc>
        <w:tc>
          <w:tcPr>
            <w:tcW w:w="0" w:type="auto"/>
            <w:tcBorders>
              <w:top w:val="single" w:sz="6" w:space="0" w:color="auto"/>
              <w:left w:val="single" w:sz="6" w:space="0" w:color="auto"/>
              <w:bottom w:val="single" w:sz="6" w:space="0" w:color="auto"/>
              <w:right w:val="single" w:sz="6" w:space="0" w:color="auto"/>
            </w:tcBorders>
            <w:vAlign w:val="center"/>
            <w:hideMark/>
          </w:tcPr>
          <w:p w14:paraId="68E81B1D" w14:textId="77777777" w:rsidR="00473060" w:rsidRPr="00473060" w:rsidRDefault="00473060" w:rsidP="00473060">
            <w:r w:rsidRPr="00473060">
              <w:rPr>
                <w:b/>
                <w:bCs/>
              </w:rPr>
              <w:t>Miễn trách nhiệm hình sự</w:t>
            </w:r>
          </w:p>
        </w:tc>
        <w:tc>
          <w:tcPr>
            <w:tcW w:w="0" w:type="auto"/>
            <w:tcBorders>
              <w:top w:val="single" w:sz="6" w:space="0" w:color="auto"/>
              <w:left w:val="single" w:sz="6" w:space="0" w:color="auto"/>
              <w:bottom w:val="single" w:sz="6" w:space="0" w:color="auto"/>
              <w:right w:val="single" w:sz="6" w:space="0" w:color="auto"/>
            </w:tcBorders>
            <w:vAlign w:val="center"/>
            <w:hideMark/>
          </w:tcPr>
          <w:p w14:paraId="2B6519CD" w14:textId="77777777" w:rsidR="00473060" w:rsidRPr="00473060" w:rsidRDefault="00473060" w:rsidP="00473060">
            <w:r w:rsidRPr="00473060">
              <w:rPr>
                <w:b/>
                <w:bCs/>
              </w:rPr>
              <w:t>Loại trừ trách nhiệm hình sự</w:t>
            </w:r>
          </w:p>
        </w:tc>
      </w:tr>
      <w:tr w:rsidR="00473060" w:rsidRPr="00473060" w14:paraId="3859EE74"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E71599B" w14:textId="77777777" w:rsidR="00473060" w:rsidRPr="00473060" w:rsidRDefault="00473060" w:rsidP="00473060">
            <w:r w:rsidRPr="00473060">
              <w:t>Bản chất pháp lý</w:t>
            </w:r>
          </w:p>
        </w:tc>
        <w:tc>
          <w:tcPr>
            <w:tcW w:w="0" w:type="auto"/>
            <w:tcBorders>
              <w:top w:val="single" w:sz="6" w:space="0" w:color="auto"/>
              <w:left w:val="single" w:sz="6" w:space="0" w:color="auto"/>
              <w:bottom w:val="single" w:sz="6" w:space="0" w:color="auto"/>
              <w:right w:val="single" w:sz="6" w:space="0" w:color="auto"/>
            </w:tcBorders>
            <w:vAlign w:val="center"/>
            <w:hideMark/>
          </w:tcPr>
          <w:p w14:paraId="6D876493" w14:textId="77777777" w:rsidR="00473060" w:rsidRPr="00473060" w:rsidRDefault="00473060" w:rsidP="00473060">
            <w:r w:rsidRPr="00473060">
              <w:t xml:space="preserve">Người thực hiện hành vi </w:t>
            </w:r>
            <w:r w:rsidRPr="00473060">
              <w:rPr>
                <w:b/>
                <w:bCs/>
              </w:rPr>
              <w:t>đã phạm một tội</w:t>
            </w:r>
            <w:r w:rsidRPr="00473060">
              <w:t xml:space="preserve"> được quy định trong Bộ luật Hình sự, nhưng được Nhà nước tha miễn việc phải gánh chịu hậu quả pháp lý.</w:t>
            </w:r>
          </w:p>
        </w:tc>
        <w:tc>
          <w:tcPr>
            <w:tcW w:w="0" w:type="auto"/>
            <w:tcBorders>
              <w:top w:val="single" w:sz="6" w:space="0" w:color="auto"/>
              <w:left w:val="single" w:sz="6" w:space="0" w:color="auto"/>
              <w:bottom w:val="single" w:sz="6" w:space="0" w:color="auto"/>
              <w:right w:val="single" w:sz="6" w:space="0" w:color="auto"/>
            </w:tcBorders>
            <w:vAlign w:val="center"/>
            <w:hideMark/>
          </w:tcPr>
          <w:p w14:paraId="7E2A505D" w14:textId="77777777" w:rsidR="00473060" w:rsidRPr="00473060" w:rsidRDefault="00473060" w:rsidP="00473060">
            <w:r w:rsidRPr="00473060">
              <w:t xml:space="preserve">Hành vi gây thiệt hại cho xã hội </w:t>
            </w:r>
            <w:r w:rsidRPr="00473060">
              <w:rPr>
                <w:b/>
                <w:bCs/>
              </w:rPr>
              <w:t>không bị coi là tội phạm</w:t>
            </w:r>
            <w:r w:rsidRPr="00473060">
              <w:t xml:space="preserve"> vì có những tình tiết luật định làm mất đi tính nguy hiểm cho xã hội hoặc tính trái pháp luật.</w:t>
            </w:r>
          </w:p>
        </w:tc>
      </w:tr>
      <w:tr w:rsidR="00473060" w:rsidRPr="00473060" w14:paraId="02348B1C"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D1DBCEB" w14:textId="77777777" w:rsidR="00473060" w:rsidRPr="00473060" w:rsidRDefault="00473060" w:rsidP="00473060">
            <w:r w:rsidRPr="00473060">
              <w:t>Cơ sở pháp lý</w:t>
            </w:r>
          </w:p>
        </w:tc>
        <w:tc>
          <w:tcPr>
            <w:tcW w:w="0" w:type="auto"/>
            <w:tcBorders>
              <w:top w:val="single" w:sz="6" w:space="0" w:color="auto"/>
              <w:left w:val="single" w:sz="6" w:space="0" w:color="auto"/>
              <w:bottom w:val="single" w:sz="6" w:space="0" w:color="auto"/>
              <w:right w:val="single" w:sz="6" w:space="0" w:color="auto"/>
            </w:tcBorders>
            <w:vAlign w:val="center"/>
            <w:hideMark/>
          </w:tcPr>
          <w:p w14:paraId="28E568FA" w14:textId="77777777" w:rsidR="00473060" w:rsidRPr="00473060" w:rsidRDefault="00473060" w:rsidP="00473060">
            <w:r w:rsidRPr="00473060">
              <w:t>Quy định tại Điều 29 và một số điều luật cụ thể ở phần các tội phạm của Bộ luật Hình sự.</w:t>
            </w:r>
          </w:p>
        </w:tc>
        <w:tc>
          <w:tcPr>
            <w:tcW w:w="0" w:type="auto"/>
            <w:tcBorders>
              <w:top w:val="single" w:sz="6" w:space="0" w:color="auto"/>
              <w:left w:val="single" w:sz="6" w:space="0" w:color="auto"/>
              <w:bottom w:val="single" w:sz="6" w:space="0" w:color="auto"/>
              <w:right w:val="single" w:sz="6" w:space="0" w:color="auto"/>
            </w:tcBorders>
            <w:vAlign w:val="center"/>
            <w:hideMark/>
          </w:tcPr>
          <w:p w14:paraId="03F8FDFD" w14:textId="77777777" w:rsidR="00473060" w:rsidRPr="00473060" w:rsidRDefault="00473060" w:rsidP="00473060">
            <w:r w:rsidRPr="00473060">
              <w:t>Quy định tại Chương IV (từ Điều 20 đến Điều 26) của Bộ luật Hình sự.</w:t>
            </w:r>
          </w:p>
        </w:tc>
      </w:tr>
      <w:tr w:rsidR="00473060" w:rsidRPr="00473060" w14:paraId="7A2F531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4C96D7D" w14:textId="77777777" w:rsidR="00473060" w:rsidRPr="00473060" w:rsidRDefault="00473060" w:rsidP="00473060">
            <w:r w:rsidRPr="00473060">
              <w:t>Đặc điểm hành vi</w:t>
            </w:r>
          </w:p>
        </w:tc>
        <w:tc>
          <w:tcPr>
            <w:tcW w:w="0" w:type="auto"/>
            <w:tcBorders>
              <w:top w:val="single" w:sz="6" w:space="0" w:color="auto"/>
              <w:left w:val="single" w:sz="6" w:space="0" w:color="auto"/>
              <w:bottom w:val="single" w:sz="6" w:space="0" w:color="auto"/>
              <w:right w:val="single" w:sz="6" w:space="0" w:color="auto"/>
            </w:tcBorders>
            <w:vAlign w:val="center"/>
            <w:hideMark/>
          </w:tcPr>
          <w:p w14:paraId="2E7A36B8" w14:textId="77777777" w:rsidR="00473060" w:rsidRPr="00473060" w:rsidRDefault="00473060" w:rsidP="00473060">
            <w:r w:rsidRPr="00473060">
              <w:t xml:space="preserve">Hành vi trên thực tế </w:t>
            </w:r>
            <w:r w:rsidRPr="00473060">
              <w:rPr>
                <w:b/>
                <w:bCs/>
              </w:rPr>
              <w:t>đã thỏa mãn đầy đủ các yếu tố cấu thành tội phạm</w:t>
            </w:r>
            <w:r w:rsidRPr="00473060">
              <w:t xml:space="preserve"> (Khách thể, Mặt khách quan, Chủ thể, Mặt chủ quan).</w:t>
            </w:r>
          </w:p>
        </w:tc>
        <w:tc>
          <w:tcPr>
            <w:tcW w:w="0" w:type="auto"/>
            <w:tcBorders>
              <w:top w:val="single" w:sz="6" w:space="0" w:color="auto"/>
              <w:left w:val="single" w:sz="6" w:space="0" w:color="auto"/>
              <w:bottom w:val="single" w:sz="6" w:space="0" w:color="auto"/>
              <w:right w:val="single" w:sz="6" w:space="0" w:color="auto"/>
            </w:tcBorders>
            <w:vAlign w:val="center"/>
            <w:hideMark/>
          </w:tcPr>
          <w:p w14:paraId="21920750" w14:textId="77777777" w:rsidR="00473060" w:rsidRPr="00473060" w:rsidRDefault="00473060" w:rsidP="00473060">
            <w:r w:rsidRPr="00473060">
              <w:t xml:space="preserve">Hành vi về hình thức có dấu hiệu nguy hiểm, nhưng bản chất </w:t>
            </w:r>
            <w:r w:rsidRPr="00473060">
              <w:rPr>
                <w:b/>
                <w:bCs/>
              </w:rPr>
              <w:t>không thỏa mãn cấu thành tội phạm</w:t>
            </w:r>
            <w:r w:rsidRPr="00473060">
              <w:t xml:space="preserve"> (thiếu tính trái pháp luật, thiếu lỗi...).</w:t>
            </w:r>
          </w:p>
        </w:tc>
      </w:tr>
      <w:tr w:rsidR="00473060" w:rsidRPr="00473060" w14:paraId="69231C0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4928633" w14:textId="77777777" w:rsidR="00473060" w:rsidRPr="00473060" w:rsidRDefault="00473060" w:rsidP="00473060">
            <w:r w:rsidRPr="00473060">
              <w:t>Các trường hợp áp dụng</w:t>
            </w:r>
          </w:p>
        </w:tc>
        <w:tc>
          <w:tcPr>
            <w:tcW w:w="0" w:type="auto"/>
            <w:tcBorders>
              <w:top w:val="single" w:sz="6" w:space="0" w:color="auto"/>
              <w:left w:val="single" w:sz="6" w:space="0" w:color="auto"/>
              <w:bottom w:val="single" w:sz="6" w:space="0" w:color="auto"/>
              <w:right w:val="single" w:sz="6" w:space="0" w:color="auto"/>
            </w:tcBorders>
            <w:vAlign w:val="center"/>
            <w:hideMark/>
          </w:tcPr>
          <w:p w14:paraId="35F594F7" w14:textId="35F09B4F" w:rsidR="00473060" w:rsidRPr="00473060" w:rsidRDefault="00473060" w:rsidP="00473060">
            <w:pPr>
              <w:rPr>
                <w:lang w:val="vi-VN"/>
              </w:rPr>
            </w:pPr>
            <w:r w:rsidRPr="00473060">
              <w:t>- Do chuyển biến của tình hình.</w:t>
            </w:r>
          </w:p>
          <w:p w14:paraId="7A097C62" w14:textId="3B38A785" w:rsidR="00473060" w:rsidRPr="00473060" w:rsidRDefault="00473060" w:rsidP="00473060">
            <w:pPr>
              <w:rPr>
                <w:lang w:val="vi-VN"/>
              </w:rPr>
            </w:pPr>
            <w:r w:rsidRPr="00473060">
              <w:t>- Người phạm tội tự thú, lập công chuộc tội.</w:t>
            </w:r>
          </w:p>
          <w:p w14:paraId="6369BFA7" w14:textId="4096CA03" w:rsidR="00473060" w:rsidRPr="00473060" w:rsidRDefault="00473060" w:rsidP="00473060">
            <w:pPr>
              <w:rPr>
                <w:lang w:val="vi-VN"/>
              </w:rPr>
            </w:pPr>
            <w:r w:rsidRPr="00473060">
              <w:t>- Mắc bệnh hiểm nghèo.</w:t>
            </w:r>
          </w:p>
          <w:p w14:paraId="6AEA629A" w14:textId="77777777" w:rsidR="00473060" w:rsidRPr="00473060" w:rsidRDefault="00473060" w:rsidP="00473060">
            <w:r w:rsidRPr="00473060">
              <w:t>- Người thực hiện tội phạm ít nghiêm trọng/nghiêm trọng do vô ý gây thiệt hại và được người bị hại tự nguyện hòa giải...</w:t>
            </w:r>
          </w:p>
        </w:tc>
        <w:tc>
          <w:tcPr>
            <w:tcW w:w="0" w:type="auto"/>
            <w:tcBorders>
              <w:top w:val="single" w:sz="6" w:space="0" w:color="auto"/>
              <w:left w:val="single" w:sz="6" w:space="0" w:color="auto"/>
              <w:bottom w:val="single" w:sz="6" w:space="0" w:color="auto"/>
              <w:right w:val="single" w:sz="6" w:space="0" w:color="auto"/>
            </w:tcBorders>
            <w:vAlign w:val="center"/>
            <w:hideMark/>
          </w:tcPr>
          <w:p w14:paraId="67BE30A4" w14:textId="2801B011" w:rsidR="00473060" w:rsidRPr="00473060" w:rsidRDefault="00473060" w:rsidP="00473060">
            <w:pPr>
              <w:rPr>
                <w:lang w:val="vi-VN"/>
              </w:rPr>
            </w:pPr>
            <w:r w:rsidRPr="00473060">
              <w:t>- Sự kiện bất ngờ.</w:t>
            </w:r>
          </w:p>
          <w:p w14:paraId="390245DB" w14:textId="2CDF593C" w:rsidR="00473060" w:rsidRPr="00473060" w:rsidRDefault="00473060" w:rsidP="00473060">
            <w:pPr>
              <w:rPr>
                <w:lang w:val="vi-VN"/>
              </w:rPr>
            </w:pPr>
            <w:r w:rsidRPr="00473060">
              <w:t>- Tình trạng không có năng lực TNHS.</w:t>
            </w:r>
          </w:p>
          <w:p w14:paraId="2B5B9769" w14:textId="36C57E40" w:rsidR="00473060" w:rsidRPr="00473060" w:rsidRDefault="00473060" w:rsidP="00473060">
            <w:pPr>
              <w:rPr>
                <w:lang w:val="vi-VN"/>
              </w:rPr>
            </w:pPr>
            <w:r w:rsidRPr="00473060">
              <w:t>- Phòng vệ chính đáng.</w:t>
            </w:r>
          </w:p>
          <w:p w14:paraId="04342F70" w14:textId="16D14D84" w:rsidR="00473060" w:rsidRPr="00473060" w:rsidRDefault="00473060" w:rsidP="00473060">
            <w:pPr>
              <w:rPr>
                <w:lang w:val="vi-VN"/>
              </w:rPr>
            </w:pPr>
            <w:r w:rsidRPr="00473060">
              <w:t>- Tình thế cấp thiết.</w:t>
            </w:r>
          </w:p>
          <w:p w14:paraId="3C9A7060" w14:textId="2B773057" w:rsidR="00473060" w:rsidRPr="00473060" w:rsidRDefault="00473060" w:rsidP="00473060">
            <w:pPr>
              <w:rPr>
                <w:lang w:val="vi-VN"/>
              </w:rPr>
            </w:pPr>
            <w:r w:rsidRPr="00473060">
              <w:t>- Gây thiệt hại trong khi bắt giữ người phạm tội.</w:t>
            </w:r>
          </w:p>
          <w:p w14:paraId="279F48E6" w14:textId="39BD93C7" w:rsidR="00473060" w:rsidRPr="00473060" w:rsidRDefault="00473060" w:rsidP="00473060">
            <w:pPr>
              <w:rPr>
                <w:lang w:val="vi-VN"/>
              </w:rPr>
            </w:pPr>
            <w:r w:rsidRPr="00473060">
              <w:t>- Rủi ro trong nghiên cứu, thử nghiệm.</w:t>
            </w:r>
          </w:p>
          <w:p w14:paraId="24BC5C06" w14:textId="77777777" w:rsidR="00473060" w:rsidRPr="00473060" w:rsidRDefault="00473060" w:rsidP="00473060">
            <w:r w:rsidRPr="00473060">
              <w:lastRenderedPageBreak/>
              <w:t>- Thi hành mệnh lệnh của người chỉ huy.</w:t>
            </w:r>
          </w:p>
        </w:tc>
      </w:tr>
      <w:tr w:rsidR="00473060" w:rsidRPr="00473060" w14:paraId="140E272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2F8490A" w14:textId="77777777" w:rsidR="00473060" w:rsidRPr="00473060" w:rsidRDefault="00473060" w:rsidP="00473060">
            <w:r w:rsidRPr="00473060">
              <w:lastRenderedPageBreak/>
              <w:t>Hậu quả pháp lý</w:t>
            </w:r>
          </w:p>
        </w:tc>
        <w:tc>
          <w:tcPr>
            <w:tcW w:w="0" w:type="auto"/>
            <w:tcBorders>
              <w:top w:val="single" w:sz="6" w:space="0" w:color="auto"/>
              <w:left w:val="single" w:sz="6" w:space="0" w:color="auto"/>
              <w:bottom w:val="single" w:sz="6" w:space="0" w:color="auto"/>
              <w:right w:val="single" w:sz="6" w:space="0" w:color="auto"/>
            </w:tcBorders>
            <w:vAlign w:val="center"/>
            <w:hideMark/>
          </w:tcPr>
          <w:p w14:paraId="0A16B318" w14:textId="77777777" w:rsidR="00473060" w:rsidRPr="00473060" w:rsidRDefault="00473060" w:rsidP="00473060">
            <w:r w:rsidRPr="00473060">
              <w:t>Không phải chịu hình phạt, không bị ghi án tích. Tuy nhiên, bản chất họ vẫn là người đã thực hiện tội phạm, cơ quan chức năng vẫn ra quyết định đình chỉ điều tra/đình chỉ vụ án đối với bị can, và họ vẫn có thể bị xử lý kỷ luật, xử phạt hành chính.</w:t>
            </w:r>
          </w:p>
        </w:tc>
        <w:tc>
          <w:tcPr>
            <w:tcW w:w="0" w:type="auto"/>
            <w:tcBorders>
              <w:top w:val="single" w:sz="6" w:space="0" w:color="auto"/>
              <w:left w:val="single" w:sz="6" w:space="0" w:color="auto"/>
              <w:bottom w:val="single" w:sz="6" w:space="0" w:color="auto"/>
              <w:right w:val="single" w:sz="6" w:space="0" w:color="auto"/>
            </w:tcBorders>
            <w:vAlign w:val="center"/>
            <w:hideMark/>
          </w:tcPr>
          <w:p w14:paraId="23E14483" w14:textId="77777777" w:rsidR="00473060" w:rsidRPr="00473060" w:rsidRDefault="00473060" w:rsidP="00473060">
            <w:r w:rsidRPr="00473060">
              <w:t>Hoàn toàn vô tội, không bị khởi tố hay truy cứu trách nhiệm hình sự ngay từ đầu. Hành vi này trong nhiều trường hợp còn được Nhà nước và xã hội khuyến khích (như phòng vệ chính đáng).</w:t>
            </w:r>
          </w:p>
        </w:tc>
      </w:tr>
    </w:tbl>
    <w:p w14:paraId="4FE4D285" w14:textId="77777777" w:rsidR="007B43AA" w:rsidRDefault="007B43AA">
      <w:pPr>
        <w:rPr>
          <w:lang w:val="vi-VN"/>
        </w:rPr>
      </w:pPr>
    </w:p>
    <w:p w14:paraId="519AC50A" w14:textId="77777777" w:rsidR="00473060" w:rsidRPr="00473060" w:rsidRDefault="00473060" w:rsidP="00473060">
      <w:pPr>
        <w:rPr>
          <w:b/>
          <w:bCs/>
        </w:rPr>
      </w:pPr>
      <w:r w:rsidRPr="00473060">
        <w:rPr>
          <w:b/>
          <w:bCs/>
        </w:rPr>
        <w:t>2. Ý nghĩa của việc nghiên cứu vấn đề này đối với công tác Công an</w:t>
      </w:r>
    </w:p>
    <w:p w14:paraId="3985E7B3" w14:textId="77777777" w:rsidR="00473060" w:rsidRPr="00473060" w:rsidRDefault="00473060" w:rsidP="00473060">
      <w:r w:rsidRPr="00473060">
        <w:t>Việc phân định rạch ròi giữa "Miễn TNHS" và "Loại trừ TNHS" có ý nghĩa đặc biệt quan trọng đối với thực tiễn công tác của lực lượng Công an nhân dân, thể hiện qua các khía cạnh sau:</w:t>
      </w:r>
    </w:p>
    <w:p w14:paraId="61169A6A" w14:textId="77777777" w:rsidR="00473060" w:rsidRPr="00473060" w:rsidRDefault="00473060" w:rsidP="00473060">
      <w:r w:rsidRPr="00473060">
        <w:rPr>
          <w:b/>
          <w:bCs/>
        </w:rPr>
        <w:t>Thứ nhất, bảo đảm nguyên tắc pháp chế, chống oan sai và bỏ lọt tội phạm</w:t>
      </w:r>
    </w:p>
    <w:p w14:paraId="3B2EACEC" w14:textId="77777777" w:rsidR="00473060" w:rsidRPr="00473060" w:rsidRDefault="00473060" w:rsidP="00473060">
      <w:pPr>
        <w:numPr>
          <w:ilvl w:val="0"/>
          <w:numId w:val="1"/>
        </w:numPr>
      </w:pPr>
      <w:r w:rsidRPr="00473060">
        <w:t>Giúp cán bộ, chiến sĩ (đặc biệt là Điều tra viên) đánh giá đúng bản chất của sự việc. Nếu nhầm lẫn một hành vi "phòng vệ chính đáng" (loại trừ TNHS) thành một tội phạm rồi áp dụng "miễn TNHS" là xâm phạm nghiêm trọng đến quyền và lợi ích hợp pháp của công dân, gây oan sai.</w:t>
      </w:r>
    </w:p>
    <w:p w14:paraId="08ACC077" w14:textId="77777777" w:rsidR="00473060" w:rsidRPr="00473060" w:rsidRDefault="00473060" w:rsidP="00473060">
      <w:pPr>
        <w:numPr>
          <w:ilvl w:val="0"/>
          <w:numId w:val="1"/>
        </w:numPr>
      </w:pPr>
      <w:r w:rsidRPr="00473060">
        <w:t>Việc nắm vững kiến thức này giúp quá trình khởi tố, điều tra, lập hồ sơ vụ án được tiến hành khách quan, toàn diện, đúng người, đúng tội, đúng pháp luật.</w:t>
      </w:r>
    </w:p>
    <w:p w14:paraId="666049D4" w14:textId="77777777" w:rsidR="00473060" w:rsidRPr="00473060" w:rsidRDefault="00473060" w:rsidP="00473060">
      <w:r w:rsidRPr="00473060">
        <w:rPr>
          <w:b/>
          <w:bCs/>
        </w:rPr>
        <w:t>Thứ hai, là "lá chắn" pháp lý bảo vệ cán bộ, chiến sĩ trong thực thi công vụ</w:t>
      </w:r>
    </w:p>
    <w:p w14:paraId="16FD377D" w14:textId="77777777" w:rsidR="00473060" w:rsidRPr="00473060" w:rsidRDefault="00473060" w:rsidP="00473060">
      <w:pPr>
        <w:numPr>
          <w:ilvl w:val="0"/>
          <w:numId w:val="2"/>
        </w:numPr>
      </w:pPr>
      <w:r w:rsidRPr="00473060">
        <w:t xml:space="preserve">Chương loại trừ TNHS có những quy định gắn liền với đặc thù công tác Công an như: </w:t>
      </w:r>
      <w:r w:rsidRPr="00473060">
        <w:rPr>
          <w:i/>
          <w:iCs/>
        </w:rPr>
        <w:t>Gây thiệt hại trong khi bắt giữ người phạm tội (Điều 24)</w:t>
      </w:r>
      <w:r w:rsidRPr="00473060">
        <w:t xml:space="preserve">, </w:t>
      </w:r>
      <w:r w:rsidRPr="00473060">
        <w:rPr>
          <w:i/>
          <w:iCs/>
        </w:rPr>
        <w:t>Thi hành mệnh lệnh của người chỉ huy hoặc của cấp trên (Điều 26)</w:t>
      </w:r>
      <w:r w:rsidRPr="00473060">
        <w:t xml:space="preserve"> hay </w:t>
      </w:r>
      <w:r w:rsidRPr="00473060">
        <w:rPr>
          <w:i/>
          <w:iCs/>
        </w:rPr>
        <w:t>Phòng vệ chính đáng (Điều 22)</w:t>
      </w:r>
      <w:r w:rsidRPr="00473060">
        <w:t>.</w:t>
      </w:r>
    </w:p>
    <w:p w14:paraId="0B46785A" w14:textId="77777777" w:rsidR="00473060" w:rsidRPr="00473060" w:rsidRDefault="00473060" w:rsidP="00473060">
      <w:pPr>
        <w:numPr>
          <w:ilvl w:val="0"/>
          <w:numId w:val="2"/>
        </w:numPr>
      </w:pPr>
      <w:r w:rsidRPr="00473060">
        <w:t>Hiểu rõ giới hạn của các quy định này giúp cán bộ, chiến sĩ có cơ sở pháp lý vững chắc, từ đó rèn luyện bản lĩnh, mạnh dạn, kiên quyết và dũng cảm sử dụng vũ lực hoặc các biện pháp nghiệp vụ trấn áp tội phạm một cách hợp pháp mà không sợ bị truy cứu trách nhiệm hình sự.</w:t>
      </w:r>
    </w:p>
    <w:p w14:paraId="2983C22E" w14:textId="77777777" w:rsidR="00473060" w:rsidRPr="00473060" w:rsidRDefault="00473060" w:rsidP="00473060">
      <w:r w:rsidRPr="00473060">
        <w:rPr>
          <w:b/>
          <w:bCs/>
        </w:rPr>
        <w:t>Thứ ba, thực hiện đúng chính sách nhân đạo, khoan hồng của Nhà nước</w:t>
      </w:r>
    </w:p>
    <w:p w14:paraId="3EBD1C01" w14:textId="77777777" w:rsidR="00473060" w:rsidRPr="00473060" w:rsidRDefault="00473060" w:rsidP="00473060">
      <w:pPr>
        <w:numPr>
          <w:ilvl w:val="0"/>
          <w:numId w:val="3"/>
        </w:numPr>
      </w:pPr>
      <w:r w:rsidRPr="00473060">
        <w:lastRenderedPageBreak/>
        <w:t>Chế định miễn TNHS là công cụ sắc bén để phân hóa tội phạm. Trong quá trình điều tra, việc Công an hướng dẫn, vận động người phạm tội ra tự thú, thành khẩn khai báo, lập công chuộc tội để được hưởng chính sách khoan hồng (miễn TNHS) giúp nhanh chóng phá án, thu hồi tài sản.</w:t>
      </w:r>
    </w:p>
    <w:p w14:paraId="77E81C2A" w14:textId="77777777" w:rsidR="00473060" w:rsidRPr="00473060" w:rsidRDefault="00473060" w:rsidP="00473060">
      <w:pPr>
        <w:numPr>
          <w:ilvl w:val="0"/>
          <w:numId w:val="3"/>
        </w:numPr>
      </w:pPr>
      <w:r w:rsidRPr="00473060">
        <w:t>Điều này phục vụ đắc lực cho công tác dân vận, thu phục nhân tâm, giáo dục và cải tạo con người hơn là trừng phạt thuần túy.</w:t>
      </w:r>
    </w:p>
    <w:p w14:paraId="1E8D743E" w14:textId="77777777" w:rsidR="00473060" w:rsidRPr="00473060" w:rsidRDefault="00473060" w:rsidP="00473060">
      <w:r w:rsidRPr="00473060">
        <w:rPr>
          <w:b/>
          <w:bCs/>
        </w:rPr>
        <w:t>Thứ tư, nâng cao hiệu quả công tác phòng ngừa tội phạm và phát động phong trào toàn dân bảo vệ ANTQ</w:t>
      </w:r>
    </w:p>
    <w:p w14:paraId="33B1211A" w14:textId="77777777" w:rsidR="00473060" w:rsidRPr="00473060" w:rsidRDefault="00473060" w:rsidP="00473060">
      <w:pPr>
        <w:numPr>
          <w:ilvl w:val="0"/>
          <w:numId w:val="4"/>
        </w:numPr>
      </w:pPr>
      <w:r w:rsidRPr="00473060">
        <w:t>Khi nắm vững các quy định về loại trừ TNHS, lực lượng Công an có thể tuyên truyền, hướng dẫn quần chúng nhân dân biết cách tự bảo vệ mình, bảo vệ lợi ích của Nhà nước và người khác một cách hợp pháp khi đối mặt với cái ác.</w:t>
      </w:r>
    </w:p>
    <w:p w14:paraId="2D4FAD3A" w14:textId="77777777" w:rsidR="00473060" w:rsidRPr="00473060" w:rsidRDefault="00473060" w:rsidP="00473060">
      <w:pPr>
        <w:numPr>
          <w:ilvl w:val="0"/>
          <w:numId w:val="4"/>
        </w:numPr>
      </w:pPr>
      <w:r w:rsidRPr="00473060">
        <w:t>Điều này khuyến khích nhân dân tích cực, dũng cảm tham gia truy bắt tội phạm, tạo thế trận an ninh nhân dân vững chắc.</w:t>
      </w:r>
    </w:p>
    <w:p w14:paraId="014E473D" w14:textId="77777777" w:rsidR="00473060" w:rsidRPr="00473060" w:rsidRDefault="00473060">
      <w:pPr>
        <w:rPr>
          <w:lang w:val="vi-VN"/>
        </w:rPr>
      </w:pPr>
    </w:p>
    <w:sectPr w:rsidR="00473060" w:rsidRPr="004730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19C0"/>
    <w:multiLevelType w:val="multilevel"/>
    <w:tmpl w:val="3E025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DA06CC"/>
    <w:multiLevelType w:val="multilevel"/>
    <w:tmpl w:val="FCE6B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5B51CE"/>
    <w:multiLevelType w:val="multilevel"/>
    <w:tmpl w:val="2F625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EC56CD"/>
    <w:multiLevelType w:val="multilevel"/>
    <w:tmpl w:val="99D4D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1011098">
    <w:abstractNumId w:val="0"/>
  </w:num>
  <w:num w:numId="2" w16cid:durableId="181942135">
    <w:abstractNumId w:val="1"/>
  </w:num>
  <w:num w:numId="3" w16cid:durableId="172426800">
    <w:abstractNumId w:val="3"/>
  </w:num>
  <w:num w:numId="4" w16cid:durableId="367112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60"/>
    <w:rsid w:val="0033073F"/>
    <w:rsid w:val="00473060"/>
    <w:rsid w:val="007B43AA"/>
    <w:rsid w:val="00F00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A8B15"/>
  <w15:chartTrackingRefBased/>
  <w15:docId w15:val="{32ADE7CA-87D2-4C07-BC33-B756A4D32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30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30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0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30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3060"/>
    <w:rPr>
      <w:rFonts w:eastAsiaTheme="majorEastAsia" w:cstheme="majorBidi"/>
      <w:color w:val="272727" w:themeColor="text1" w:themeTint="D8"/>
    </w:rPr>
  </w:style>
  <w:style w:type="paragraph" w:styleId="Title">
    <w:name w:val="Title"/>
    <w:basedOn w:val="Normal"/>
    <w:next w:val="Normal"/>
    <w:link w:val="TitleChar"/>
    <w:uiPriority w:val="10"/>
    <w:qFormat/>
    <w:rsid w:val="004730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0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060"/>
    <w:pPr>
      <w:spacing w:before="160"/>
      <w:jc w:val="center"/>
    </w:pPr>
    <w:rPr>
      <w:i/>
      <w:iCs/>
      <w:color w:val="404040" w:themeColor="text1" w:themeTint="BF"/>
    </w:rPr>
  </w:style>
  <w:style w:type="character" w:customStyle="1" w:styleId="QuoteChar">
    <w:name w:val="Quote Char"/>
    <w:basedOn w:val="DefaultParagraphFont"/>
    <w:link w:val="Quote"/>
    <w:uiPriority w:val="29"/>
    <w:rsid w:val="00473060"/>
    <w:rPr>
      <w:i/>
      <w:iCs/>
      <w:color w:val="404040" w:themeColor="text1" w:themeTint="BF"/>
    </w:rPr>
  </w:style>
  <w:style w:type="paragraph" w:styleId="ListParagraph">
    <w:name w:val="List Paragraph"/>
    <w:basedOn w:val="Normal"/>
    <w:uiPriority w:val="34"/>
    <w:qFormat/>
    <w:rsid w:val="00473060"/>
    <w:pPr>
      <w:ind w:left="720"/>
      <w:contextualSpacing/>
    </w:pPr>
  </w:style>
  <w:style w:type="character" w:styleId="IntenseEmphasis">
    <w:name w:val="Intense Emphasis"/>
    <w:basedOn w:val="DefaultParagraphFont"/>
    <w:uiPriority w:val="21"/>
    <w:qFormat/>
    <w:rsid w:val="00473060"/>
    <w:rPr>
      <w:i/>
      <w:iCs/>
      <w:color w:val="0F4761" w:themeColor="accent1" w:themeShade="BF"/>
    </w:rPr>
  </w:style>
  <w:style w:type="paragraph" w:styleId="IntenseQuote">
    <w:name w:val="Intense Quote"/>
    <w:basedOn w:val="Normal"/>
    <w:next w:val="Normal"/>
    <w:link w:val="IntenseQuoteChar"/>
    <w:uiPriority w:val="30"/>
    <w:qFormat/>
    <w:rsid w:val="0047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3060"/>
    <w:rPr>
      <w:i/>
      <w:iCs/>
      <w:color w:val="0F4761" w:themeColor="accent1" w:themeShade="BF"/>
    </w:rPr>
  </w:style>
  <w:style w:type="character" w:styleId="IntenseReference">
    <w:name w:val="Intense Reference"/>
    <w:basedOn w:val="DefaultParagraphFont"/>
    <w:uiPriority w:val="32"/>
    <w:qFormat/>
    <w:rsid w:val="004730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927</Words>
  <Characters>3339</Characters>
  <Application>Microsoft Office Word</Application>
  <DocSecurity>0</DocSecurity>
  <Lines>81</Lines>
  <Paragraphs>22</Paragraphs>
  <ScaleCrop>false</ScaleCrop>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Birdy</dc:creator>
  <cp:keywords/>
  <dc:description/>
  <cp:lastModifiedBy>Birdy</cp:lastModifiedBy>
  <cp:revision>1</cp:revision>
  <dcterms:created xsi:type="dcterms:W3CDTF">2026-03-30T07:31:00Z</dcterms:created>
  <dcterms:modified xsi:type="dcterms:W3CDTF">2026-03-30T07:32:00Z</dcterms:modified>
</cp:coreProperties>
</file>