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60"/>
        <w:jc w:val="center"/>
      </w:pPr>
      <w:r>
        <w:rPr>
          <w:rFonts w:ascii="Times New Roman" w:cs="Times New Roman" w:eastAsia="Times New Roman" w:hAnsi="Times New Roman"/>
          <w:b/>
          <w:bCs/>
          <w:sz w:val="28"/>
          <w:szCs w:val="28"/>
        </w:rPr>
        <w:t xml:space="preserve">BÀI LÀM</w:t>
      </w:r>
    </w:p>
    <w:p>
      <w:pPr>
        <w:spacing w:after="240" w:line="360"/>
        <w:jc w:val="center"/>
      </w:pPr>
      <w:r>
        <w:rPr>
          <w:rFonts w:ascii="Times New Roman" w:cs="Times New Roman" w:eastAsia="Times New Roman" w:hAnsi="Times New Roman"/>
          <w:i/>
          <w:iCs/>
          <w:sz w:val="26"/>
          <w:szCs w:val="26"/>
        </w:rPr>
        <w:t xml:space="preserve">Môn: Luật Tố tụng Hình sự</w:t>
      </w:r>
    </w:p>
    <w:p>
      <w:pPr>
        <w:spacing w:after="120" w:before="240" w:line="360"/>
        <w:ind w:firstLine="720"/>
        <w:jc w:val="left"/>
      </w:pPr>
      <w:r>
        <w:rPr>
          <w:rFonts w:ascii="Times New Roman" w:cs="Times New Roman" w:eastAsia="Times New Roman" w:hAnsi="Times New Roman"/>
          <w:b/>
          <w:bCs/>
          <w:sz w:val="26"/>
          <w:szCs w:val="26"/>
        </w:rPr>
        <w:t xml:space="preserve">Câu 1 (5 điểm):</w:t>
      </w:r>
    </w:p>
    <w:p>
      <w:pPr>
        <w:spacing w:after="120" w:before="0" w:line="360"/>
        <w:ind w:firstLine="720"/>
      </w:pPr>
      <w:r>
        <w:rPr>
          <w:rFonts w:ascii="Times New Roman" w:cs="Times New Roman" w:eastAsia="Times New Roman" w:hAnsi="Times New Roman"/>
          <w:b/>
          <w:bCs/>
          <w:i w:val="false"/>
          <w:iCs w:val="false"/>
          <w:sz w:val="26"/>
          <w:szCs w:val="26"/>
        </w:rPr>
        <w:t xml:space="preserve">Nhận định 1: </w:t>
      </w:r>
      <w:r>
        <w:rPr>
          <w:rFonts w:ascii="Times New Roman" w:cs="Times New Roman" w:eastAsia="Times New Roman" w:hAnsi="Times New Roman"/>
          <w:b/>
          <w:bCs/>
          <w:i w:val="false"/>
          <w:iCs w:val="false"/>
          <w:sz w:val="26"/>
          <w:szCs w:val="26"/>
        </w:rPr>
        <w:t xml:space="preserve">SAI.</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Theo Điều 86 Bộ luật Tố tụng Hình sự (BLTTHS) năm 2015, chứng cứ phải có đủ ba thuộc tính: tính khách quan, tính liên quan và tính hợp pháp. Kết luận giám định chỉ là một trong các </w:t>
      </w:r>
      <w:r>
        <w:rPr>
          <w:rFonts w:ascii="Times New Roman" w:cs="Times New Roman" w:eastAsia="Times New Roman" w:hAnsi="Times New Roman"/>
          <w:b w:val="false"/>
          <w:bCs w:val="false"/>
          <w:i/>
          <w:iCs/>
          <w:sz w:val="26"/>
          <w:szCs w:val="26"/>
        </w:rPr>
        <w:t xml:space="preserve">nguồn chứng cứ</w:t>
      </w:r>
      <w:r>
        <w:rPr>
          <w:rFonts w:ascii="Times New Roman" w:cs="Times New Roman" w:eastAsia="Times New Roman" w:hAnsi="Times New Roman"/>
          <w:b w:val="false"/>
          <w:bCs w:val="false"/>
          <w:i w:val="false"/>
          <w:iCs w:val="false"/>
          <w:sz w:val="26"/>
          <w:szCs w:val="26"/>
        </w:rPr>
        <w:t xml:space="preserve"> theo Điều 87 BLTTHS. Để được coi là chứng cứ chứng minh tội phạm, kết luận giám định phải được thu thập theo đúng trình tự, thủ tục luật định và có liên quan đến đối tượng chứng minh trong vụ án. Trên thực tế, có những kết luận giám định lại mang giá trị loại trừ trách nhiệm hình sự (như giám định tâm thần xác định người thực hiện hành vi mất năng lực TNHS, giám định pháp y xác định nạn nhân tử vong do bệnh lý chứ không phải do hành vi của bị can), hoặc nếu thu thập trái thủ tục thì không có giá trị chứng minh.</w:t>
      </w:r>
    </w:p>
    <w:p>
      <w:pPr>
        <w:spacing w:after="120" w:before="0" w:line="360"/>
        <w:ind w:firstLine="720"/>
      </w:pPr>
      <w:r>
        <w:rPr>
          <w:rFonts w:ascii="Times New Roman" w:cs="Times New Roman" w:eastAsia="Times New Roman" w:hAnsi="Times New Roman"/>
          <w:b/>
          <w:bCs/>
          <w:i w:val="false"/>
          <w:iCs w:val="false"/>
          <w:sz w:val="26"/>
          <w:szCs w:val="26"/>
        </w:rPr>
        <w:t xml:space="preserve">Nhận định 2: </w:t>
      </w:r>
      <w:r>
        <w:rPr>
          <w:rFonts w:ascii="Times New Roman" w:cs="Times New Roman" w:eastAsia="Times New Roman" w:hAnsi="Times New Roman"/>
          <w:b/>
          <w:bCs/>
          <w:i w:val="false"/>
          <w:iCs w:val="false"/>
          <w:sz w:val="26"/>
          <w:szCs w:val="26"/>
        </w:rPr>
        <w:t xml:space="preserve">SAI.</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Đối tượng chứng minh trong vụ án hình sự được quy định tại Điều 85 BLTTHS năm 2015, bao gồm </w:t>
      </w:r>
      <w:r>
        <w:rPr>
          <w:rFonts w:ascii="Times New Roman" w:cs="Times New Roman" w:eastAsia="Times New Roman" w:hAnsi="Times New Roman"/>
          <w:b/>
          <w:bCs/>
          <w:i w:val="false"/>
          <w:iCs w:val="false"/>
          <w:sz w:val="26"/>
          <w:szCs w:val="26"/>
        </w:rPr>
        <w:t xml:space="preserve">bảy vấn đề</w:t>
      </w:r>
      <w:r>
        <w:rPr>
          <w:rFonts w:ascii="Times New Roman" w:cs="Times New Roman" w:eastAsia="Times New Roman" w:hAnsi="Times New Roman"/>
          <w:b w:val="false"/>
          <w:bCs w:val="false"/>
          <w:i w:val="false"/>
          <w:iCs w:val="false"/>
          <w:sz w:val="26"/>
          <w:szCs w:val="26"/>
        </w:rPr>
        <w:t xml:space="preserve"> chứ không chỉ giới hạn ở bốn yếu tố cấu thành tội phạm. Ngoài hành vi phạm tội, người thực hiện, lỗi và năng lực TNHS, đối tượng chứng minh còn bao gồm: các tình tiết tăng nặng, giảm nhẹ TNHS; đặc điểm nhân thân của bị can, bị cáo; tính chất và mức độ thiệt hại do hành vi phạm tội gây ra; nguyên nhân và điều kiện phạm tội; những tình tiết khác liên quan đến việc loại trừ TNHS, miễn TNHS, miễn hình phạt. Bốn yếu tố cấu thành tội phạm chỉ là một phần của đối tượng chứng minh.</w:t>
      </w:r>
    </w:p>
    <w:p>
      <w:pPr>
        <w:spacing w:after="120" w:before="0" w:line="360"/>
        <w:ind w:firstLine="720"/>
      </w:pPr>
      <w:r>
        <w:rPr>
          <w:rFonts w:ascii="Times New Roman" w:cs="Times New Roman" w:eastAsia="Times New Roman" w:hAnsi="Times New Roman"/>
          <w:b/>
          <w:bCs/>
          <w:i w:val="false"/>
          <w:iCs w:val="false"/>
          <w:sz w:val="26"/>
          <w:szCs w:val="26"/>
        </w:rPr>
        <w:t xml:space="preserve">Nhận định 3: </w:t>
      </w:r>
      <w:r>
        <w:rPr>
          <w:rFonts w:ascii="Times New Roman" w:cs="Times New Roman" w:eastAsia="Times New Roman" w:hAnsi="Times New Roman"/>
          <w:b/>
          <w:bCs/>
          <w:i w:val="false"/>
          <w:iCs w:val="false"/>
          <w:sz w:val="26"/>
          <w:szCs w:val="26"/>
        </w:rPr>
        <w:t xml:space="preserve">SAI.</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Theo Điều 86 BLTTHS, chứng cứ là những gì có thật được thu thập theo trình tự, thủ tục luật định, dùng làm căn cứ để xác định có hay không có hành vi phạm tội. Theo Điều 87 BLTTHS, vật chứng là một trong các </w:t>
      </w:r>
      <w:r>
        <w:rPr>
          <w:rFonts w:ascii="Times New Roman" w:cs="Times New Roman" w:eastAsia="Times New Roman" w:hAnsi="Times New Roman"/>
          <w:b w:val="false"/>
          <w:bCs w:val="false"/>
          <w:i/>
          <w:iCs/>
          <w:sz w:val="26"/>
          <w:szCs w:val="26"/>
        </w:rPr>
        <w:t xml:space="preserve">nguồn chứng cứ</w:t>
      </w:r>
      <w:r>
        <w:rPr>
          <w:rFonts w:ascii="Times New Roman" w:cs="Times New Roman" w:eastAsia="Times New Roman" w:hAnsi="Times New Roman"/>
          <w:b w:val="false"/>
          <w:bCs w:val="false"/>
          <w:i w:val="false"/>
          <w:iCs w:val="false"/>
          <w:sz w:val="26"/>
          <w:szCs w:val="26"/>
        </w:rPr>
        <w:t xml:space="preserve"> chứ không phải là chứng cứ. Vật chứng là nơi chứa đựng thông tin có giá trị chứng minh; những thông tin, đặc điểm, dấu vết trên vật chứng mới là chứng cứ. Cần phân biệt rõ giữa nguồn chứng cứ và chứng cứ.</w:t>
      </w:r>
    </w:p>
    <w:p>
      <w:pPr>
        <w:spacing w:after="120" w:before="0" w:line="360"/>
        <w:ind w:firstLine="720"/>
      </w:pPr>
      <w:r>
        <w:rPr>
          <w:rFonts w:ascii="Times New Roman" w:cs="Times New Roman" w:eastAsia="Times New Roman" w:hAnsi="Times New Roman"/>
          <w:b/>
          <w:bCs/>
          <w:i w:val="false"/>
          <w:iCs w:val="false"/>
          <w:sz w:val="26"/>
          <w:szCs w:val="26"/>
        </w:rPr>
        <w:t xml:space="preserve">Nhận định 4: </w:t>
      </w:r>
      <w:r>
        <w:rPr>
          <w:rFonts w:ascii="Times New Roman" w:cs="Times New Roman" w:eastAsia="Times New Roman" w:hAnsi="Times New Roman"/>
          <w:b/>
          <w:bCs/>
          <w:i w:val="false"/>
          <w:iCs w:val="false"/>
          <w:sz w:val="26"/>
          <w:szCs w:val="26"/>
        </w:rPr>
        <w:t xml:space="preserve">ĐÚNG.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Theo điểm a khoản 2 Điều 176 BLTTHS năm 2015, người thân thích của người bị buộc tội không được làm người chứng kiến trong các hoạt động điều tra. Quy định này nhằm bảo đảm tính khách quan, vô tư của người chứng kiến, tránh việc người thân thích vì mối quan hệ tình cảm mà bao che, làm sai lệch kết quả hoạt động điều tra, gây ảnh hưởng đến quá trình giải quyết vụ án.</w:t>
      </w:r>
    </w:p>
    <w:p>
      <w:pPr>
        <w:spacing w:after="120" w:before="0" w:line="360"/>
        <w:ind w:firstLine="720"/>
      </w:pPr>
      <w:r>
        <w:rPr>
          <w:rFonts w:ascii="Times New Roman" w:cs="Times New Roman" w:eastAsia="Times New Roman" w:hAnsi="Times New Roman"/>
          <w:b/>
          <w:bCs/>
          <w:i w:val="false"/>
          <w:iCs w:val="false"/>
          <w:sz w:val="26"/>
          <w:szCs w:val="26"/>
        </w:rPr>
        <w:t xml:space="preserve">Nhận định 5: </w:t>
      </w:r>
      <w:r>
        <w:rPr>
          <w:rFonts w:ascii="Times New Roman" w:cs="Times New Roman" w:eastAsia="Times New Roman" w:hAnsi="Times New Roman"/>
          <w:b/>
          <w:bCs/>
          <w:i w:val="false"/>
          <w:iCs w:val="false"/>
          <w:sz w:val="26"/>
          <w:szCs w:val="26"/>
        </w:rPr>
        <w:t xml:space="preserve">SAI.</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Chứng cứ gốc và chứng cứ trực tiếp là hai cách phân loại chứng cứ dựa trên hai tiêu chí khác nhau. Chứng cứ gốc (phân loại theo nguồn gốc hình thành) là chứng cứ thu được từ nguồn đầu tiên, không qua trung gian. Chứng cứ trực tiếp (phân loại theo mối quan hệ với đối tượng chứng minh) là chứng cứ chứng minh trực tiếp các tình tiết của vụ án mà không cần qua suy luận. Chứng cứ gốc có thể là chứng cứ trực tiếp hoặc gián tiếp. Ví dụ: dấu vân tay của người bị nghi thực hiện tội phạm tại hiện trường là chứng cứ gốc (thu trực tiếp từ hiện trường) nhưng chỉ là chứng cứ gián tiếp (chỉ chứng minh được sự có mặt, phải suy luận thêm mới xác định được hành vi phạm tội).</w:t>
      </w:r>
    </w:p>
    <w:p>
      <w:pPr>
        <w:spacing w:after="120" w:before="240" w:line="360"/>
        <w:ind w:firstLine="720"/>
        <w:jc w:val="left"/>
      </w:pPr>
      <w:r>
        <w:rPr>
          <w:rFonts w:ascii="Times New Roman" w:cs="Times New Roman" w:eastAsia="Times New Roman" w:hAnsi="Times New Roman"/>
          <w:b/>
          <w:bCs/>
          <w:sz w:val="26"/>
          <w:szCs w:val="26"/>
        </w:rPr>
        <w:t xml:space="preserve">Câu 2 (5 điểm):</w:t>
      </w:r>
    </w:p>
    <w:p>
      <w:pPr>
        <w:spacing w:after="120" w:before="0" w:line="360"/>
        <w:ind w:firstLine="720"/>
      </w:pPr>
      <w:r>
        <w:rPr>
          <w:rFonts w:ascii="Times New Roman" w:cs="Times New Roman" w:eastAsia="Times New Roman" w:hAnsi="Times New Roman"/>
          <w:b/>
          <w:bCs/>
          <w:i w:val="false"/>
          <w:iCs w:val="false"/>
          <w:sz w:val="26"/>
          <w:szCs w:val="26"/>
        </w:rPr>
        <w:t xml:space="preserve">1. Xác định chứng cứ và các biện pháp thu thập chứng cứ</w:t>
      </w:r>
    </w:p>
    <w:p>
      <w:pPr>
        <w:spacing w:after="120" w:before="0" w:line="360"/>
        <w:ind w:firstLine="720"/>
      </w:pPr>
      <w:r>
        <w:rPr>
          <w:rFonts w:ascii="Times New Roman" w:cs="Times New Roman" w:eastAsia="Times New Roman" w:hAnsi="Times New Roman"/>
          <w:b w:val="false"/>
          <w:bCs w:val="false"/>
          <w:i/>
          <w:iCs/>
          <w:sz w:val="26"/>
          <w:szCs w:val="26"/>
        </w:rPr>
        <w:t xml:space="preserve">Các chứng cứ cần thu thập trong vụ án bao gồm:</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Lời khai của bị hại chị Hương về diễn biến vụ việc và đặc điểm nhận dạng đối tượng;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Lời khai của người làm chứng (ông Ba, ông Hiền) và những người khác trong khu tập thể Nghĩa Tân;</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Vật chứng: chiếc xe Honda Dream của chị Hương, hung khí (con dao) và các đồ vật mà thủ phạm có thể bỏ lại tại hiện trường;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Dấu vết tại hiện trường: máu, dấu chân, dấu vân tay tại khu vực cầu thang nhà C2;</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Kết luận giám định pháp y về thương tích của chị Hương; kết luận giám định vết máu, dấu vết sinh học, hung khí;</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Dữ liệu điện tử: hình ảnh camera an ninh tại khu tập thể và các tuyến đường lân cận;</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Lý lịch tư pháp của Nguyễn Văn Phương (đã có hai tiền án).</w:t>
      </w:r>
    </w:p>
    <w:p>
      <w:pPr>
        <w:spacing w:after="120" w:before="0" w:line="360"/>
        <w:ind w:firstLine="720"/>
      </w:pPr>
      <w:r>
        <w:rPr>
          <w:rFonts w:ascii="Times New Roman" w:cs="Times New Roman" w:eastAsia="Times New Roman" w:hAnsi="Times New Roman"/>
          <w:b w:val="false"/>
          <w:bCs w:val="false"/>
          <w:i/>
          <w:iCs/>
          <w:sz w:val="26"/>
          <w:szCs w:val="26"/>
        </w:rPr>
        <w:t xml:space="preserve">Các biện pháp thu thập chứng cứ (Điều 88 BLTTHS năm 2015):</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Khám nghiệm hiện trường tại khu vực cầu thang nhà C2 (Điều 201);</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Lấy lời khai bị hại (Điều 188), người làm chứng (Điều 186, 187);</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Tổ chức nhận dạng theo Điều 190 (đã sơ bộ thực hiện qua việc cho ông Ba, ông Hiền xem ảnh);</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Trưng cầu giám định pháp y thương tích, giám định vật chứng (Điều 205);</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Yêu cầu cơ quan, tổ chức, cá nhân cung cấp tài liệu, đồ vật (Điều 88) để thu hồi dữ liệu camera;</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 Khi có đủ căn cứ, tiến hành khám xét người, chỗ ở của Nguyễn Văn Phương (Điều 192, 194) để thu giữ hung khí, quần áo, dấu vết liên quan đến vụ án.</w:t>
      </w:r>
    </w:p>
    <w:p>
      <w:pPr>
        <w:spacing w:after="120" w:before="0" w:line="360"/>
        <w:ind w:firstLine="720"/>
      </w:pPr>
      <w:r>
        <w:rPr>
          <w:rFonts w:ascii="Times New Roman" w:cs="Times New Roman" w:eastAsia="Times New Roman" w:hAnsi="Times New Roman"/>
          <w:b/>
          <w:bCs/>
          <w:i w:val="false"/>
          <w:iCs w:val="false"/>
          <w:sz w:val="26"/>
          <w:szCs w:val="26"/>
        </w:rPr>
        <w:t xml:space="preserve">2. Có áp dụng biện pháp giữ người trong trường hợp khẩn cấp đối với Nguyễn Văn Phương không?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Theo khoản 1 Điều 110 BLTTHS năm 2015, giữ người trong trường hợp khẩn cấp chỉ được áp dụng khi có một trong ba căn cứ sau:</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(a) Có đủ căn cứ để xác định người đó đang chuẩn bị thực hiện tội phạm rất nghiêm trọng hoặc tội phạm đặc biệt nghiêm trọng;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(b) Người cùng thực hiện tội phạm hoặc bị hại hoặc người có mặt tại nơi xảy ra tội phạm chính mắt nhìn thấy và xác nhận đúng là người đã thực hiện tội phạm mà xét thấy cần ngăn chặn ngay việc người đó trốn;</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p>
    <w:p>
      <w:pPr>
        <w:spacing w:after="120" w:before="0" w:line="360"/>
        <w:ind w:firstLine="720"/>
      </w:pPr>
      <w:r>
        <w:rPr>
          <w:rFonts w:ascii="Times New Roman" w:cs="Times New Roman" w:eastAsia="Times New Roman" w:hAnsi="Times New Roman"/>
          <w:b/>
          <w:bCs/>
          <w:i w:val="false"/>
          <w:iCs w:val="false"/>
          <w:sz w:val="26"/>
          <w:szCs w:val="26"/>
        </w:rPr>
        <w:t xml:space="preserve">Kết luận: Chưa đủ căn cứ để áp dụng biện pháp giữ người trong trường hợp khẩn cấp đối với Nguyễn Văn Phương.</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Lý do: Ông Ba và ông Hiền không phải là bị hại, không phải là người cùng thực hiện tội phạm. Quan trọng hơn, hai ông chỉ nhìn thấy Phương </w:t>
      </w:r>
      <w:r>
        <w:rPr>
          <w:rFonts w:ascii="Times New Roman" w:cs="Times New Roman" w:eastAsia="Times New Roman" w:hAnsi="Times New Roman"/>
          <w:b w:val="false"/>
          <w:bCs w:val="false"/>
          <w:i/>
          <w:iCs/>
          <w:sz w:val="26"/>
          <w:szCs w:val="26"/>
        </w:rPr>
        <w:t xml:space="preserve">lảng vảng</w:t>
      </w:r>
      <w:r>
        <w:rPr>
          <w:rFonts w:ascii="Times New Roman" w:cs="Times New Roman" w:eastAsia="Times New Roman" w:hAnsi="Times New Roman"/>
          <w:b w:val="false"/>
          <w:bCs w:val="false"/>
          <w:i w:val="false"/>
          <w:iCs w:val="false"/>
          <w:sz w:val="26"/>
          <w:szCs w:val="26"/>
        </w:rPr>
        <w:t xml:space="preserve"> tại khu vực cầu thang vào lúc 22 giờ 45 phút - tức trước thời điểm xảy ra vụ chém khoảng 15 phút - chứ </w:t>
      </w:r>
      <w:r>
        <w:rPr>
          <w:rFonts w:ascii="Times New Roman" w:cs="Times New Roman" w:eastAsia="Times New Roman" w:hAnsi="Times New Roman"/>
          <w:b/>
          <w:bCs/>
          <w:i w:val="false"/>
          <w:iCs w:val="false"/>
          <w:sz w:val="26"/>
          <w:szCs w:val="26"/>
        </w:rPr>
        <w:t xml:space="preserve">không chính mắt chứng kiến hành vi chém chị Hương</w:t>
      </w:r>
      <w:r>
        <w:rPr>
          <w:rFonts w:ascii="Times New Roman" w:cs="Times New Roman" w:eastAsia="Times New Roman" w:hAnsi="Times New Roman"/>
          <w:b w:val="false"/>
          <w:bCs w:val="false"/>
          <w:i w:val="false"/>
          <w:iCs w:val="false"/>
          <w:sz w:val="26"/>
          <w:szCs w:val="26"/>
        </w:rPr>
        <w:t xml:space="preserve">. Do đó không thỏa mãn điều kiện "chính mắt nhìn thấy và xác nhận đúng là người đã thực hiện tội phạm" theo điểm b khoản 1 Điều 110 BLTTHS. Tình tiết Phương đã có hai tiền án cũng không phải là căn cứ để áp dụng biện pháp giữ người trong trường hợp khẩn cấp.</w:t>
      </w:r>
    </w:p>
    <w:p>
      <w:pPr>
        <w:spacing w:after="120" w:before="0" w:line="360"/>
        <w:ind w:firstLine="720"/>
      </w:pPr>
      <w:r>
        <w:rPr>
          <w:rFonts w:ascii="Times New Roman" w:cs="Times New Roman" w:eastAsia="Times New Roman" w:hAnsi="Times New Roman"/>
          <w:b w:val="false"/>
          <w:bCs w:val="false"/>
          <w:i w:val="false"/>
          <w:iCs w:val="false"/>
          <w:sz w:val="26"/>
          <w:szCs w:val="26"/>
        </w:rPr>
        <w:t xml:space="preserve">Trong giai đoạn này, cơ quan điều tra cần tiếp tục các hoạt động: triệu tập Nguyễn Văn Phương để lấy lời khai; tiến hành khám xét chỗ ở của Phương để tìm dấu vết tội phạm (hung khí, quần áo dính máu...). Khi phát hiện dấu vết của tội phạm ở người, chỗ ở hoặc phương tiện của Phương (theo điểm c khoản 1 Điều 110 BLTTHS) và xét thấy cần ngăn chặn ngay việc Phương bỏ trốn hoặc tiêu hủy chứng cứ thì mới đủ căn cứ áp dụng biện pháp giữ người trong trường hợp khẩn cấp.</w:t>
      </w:r>
    </w:p>
    <w:p>
      <w:pPr>
        <w:spacing w:after="0" w:before="240"/>
        <w:jc w:val="center"/>
      </w:pPr>
      <w:r>
        <w:rPr>
          <w:rFonts w:ascii="Times New Roman" w:cs="Times New Roman" w:eastAsia="Times New Roman" w:hAnsi="Times New Roman"/>
          <w:i/>
          <w:iCs/>
          <w:sz w:val="26"/>
          <w:szCs w:val="26"/>
        </w:rPr>
        <w:t xml:space="preserve">---------- HẾT ----------</w:t>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2026-05-26T13:38:57.663Z</dcterms:created>
  <dcterms:modified xsi:type="dcterms:W3CDTF">2026-05-26T13:38:57.678Z</dcterms:modified>
</cp:coreProperties>
</file>

<file path=docProps/custom.xml><?xml version="1.0" encoding="utf-8"?>
<Properties xmlns="http://schemas.openxmlformats.org/officeDocument/2006/custom-properties" xmlns:vt="http://schemas.openxmlformats.org/officeDocument/2006/docPropsVTypes"/>
</file>