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B08E" w14:textId="77777777" w:rsidR="00017BAD" w:rsidRDefault="00000000">
      <w:pPr>
        <w:spacing w:after="240" w:line="360" w:lineRule="auto"/>
        <w:jc w:val="center"/>
      </w:pPr>
      <w:r>
        <w:rPr>
          <w:b/>
          <w:bCs/>
          <w:i/>
          <w:iCs/>
          <w:sz w:val="28"/>
          <w:szCs w:val="28"/>
        </w:rPr>
        <w:t>Phân tích điều kiện có hiệu lực của giao dịch dân sự? Dấu hiệu xác định giao dịch dân sự vô hiệu? Hậu quả pháp lý?</w:t>
      </w:r>
    </w:p>
    <w:p w14:paraId="5560D9FA" w14:textId="77777777" w:rsidR="00017BAD" w:rsidRDefault="00000000">
      <w:pPr>
        <w:spacing w:before="240" w:after="120" w:line="360" w:lineRule="auto"/>
      </w:pPr>
      <w:r>
        <w:rPr>
          <w:b/>
          <w:bCs/>
          <w:sz w:val="28"/>
          <w:szCs w:val="28"/>
        </w:rPr>
        <w:t>I. KHÁI NIỆM GIAO DỊCH DÂN SỰ</w:t>
      </w:r>
    </w:p>
    <w:p w14:paraId="7F9733F8" w14:textId="77777777" w:rsidR="00017BAD" w:rsidRDefault="00000000">
      <w:pPr>
        <w:spacing w:after="80" w:line="360" w:lineRule="auto"/>
        <w:ind w:firstLine="567"/>
        <w:jc w:val="both"/>
      </w:pPr>
      <w:r>
        <w:t xml:space="preserve">Theo </w:t>
      </w:r>
      <w:r>
        <w:rPr>
          <w:b/>
          <w:bCs/>
        </w:rPr>
        <w:t>Điều 116 Bộ luật Dân sự năm 2015</w:t>
      </w:r>
      <w:r>
        <w:t>: “Giao dịch dân sự là hợp đồng hoặc hành vi pháp lý đơn phương làm phát sinh, thay đổi hoặc chấm dứt quyền, nghĩa vụ dân sự”.</w:t>
      </w:r>
    </w:p>
    <w:p w14:paraId="66B19D5D" w14:textId="77777777" w:rsidR="00017BAD" w:rsidRDefault="00000000">
      <w:pPr>
        <w:spacing w:after="80" w:line="360" w:lineRule="auto"/>
        <w:ind w:firstLine="567"/>
        <w:jc w:val="both"/>
      </w:pPr>
      <w:r>
        <w:t>Như vậy, giao dịch dân sự (GDDS) tồn tại dưới hai hình thức cơ bản:</w:t>
      </w:r>
    </w:p>
    <w:p w14:paraId="46EEE4C2" w14:textId="77777777" w:rsidR="00017BAD" w:rsidRDefault="00000000">
      <w:pPr>
        <w:pStyle w:val="ListParagraph"/>
        <w:numPr>
          <w:ilvl w:val="0"/>
          <w:numId w:val="2"/>
        </w:numPr>
        <w:spacing w:after="60" w:line="320" w:lineRule="auto"/>
        <w:jc w:val="both"/>
      </w:pPr>
      <w:r>
        <w:rPr>
          <w:b/>
          <w:bCs/>
        </w:rPr>
        <w:t>Hợp đồng</w:t>
      </w:r>
      <w:r>
        <w:t>: là sự thỏa thuận giữa hai hay nhiều bên về việc xác lập, thay đổi hoặc chấm dứt quyền, nghĩa vụ dân sự (Điều 385 BLDS 2015).</w:t>
      </w:r>
    </w:p>
    <w:p w14:paraId="55CAB680" w14:textId="77777777" w:rsidR="00017BAD" w:rsidRDefault="00000000">
      <w:pPr>
        <w:pStyle w:val="ListParagraph"/>
        <w:numPr>
          <w:ilvl w:val="0"/>
          <w:numId w:val="2"/>
        </w:numPr>
        <w:spacing w:after="60" w:line="320" w:lineRule="auto"/>
        <w:jc w:val="both"/>
      </w:pPr>
      <w:r>
        <w:rPr>
          <w:b/>
          <w:bCs/>
        </w:rPr>
        <w:t>Hành vi pháp lý đơn phương</w:t>
      </w:r>
      <w:r>
        <w:t>: là sự thể hiện ý chí của một bên làm phát sinh hậu quả pháp lý (ví dụ: lập di chúc, hứa thưởng, từ chối nhận di sản…).</w:t>
      </w:r>
    </w:p>
    <w:p w14:paraId="5CC8260A" w14:textId="77777777" w:rsidR="00017BAD" w:rsidRDefault="00000000">
      <w:pPr>
        <w:spacing w:after="80" w:line="360" w:lineRule="auto"/>
        <w:ind w:firstLine="567"/>
        <w:jc w:val="both"/>
      </w:pPr>
      <w:r>
        <w:t>GDDS là phương tiện pháp lý quan trọng để các chủ thể thực hiện quyền tự do, tự nguyện cam kết, thỏa thuận trong giao lưu dân sự, kinh tế.</w:t>
      </w:r>
    </w:p>
    <w:p w14:paraId="056829CC" w14:textId="77777777" w:rsidR="00017BAD" w:rsidRDefault="00000000">
      <w:pPr>
        <w:spacing w:before="240" w:after="120" w:line="360" w:lineRule="auto"/>
      </w:pPr>
      <w:r>
        <w:rPr>
          <w:b/>
          <w:bCs/>
          <w:sz w:val="28"/>
          <w:szCs w:val="28"/>
        </w:rPr>
        <w:t>II. ĐIỀU KIỆN CÓ HIỆU LỰC CỦA GIAO DỊCH DÂN SỰ</w:t>
      </w:r>
    </w:p>
    <w:p w14:paraId="08183AA0" w14:textId="77777777" w:rsidR="00017BAD" w:rsidRDefault="00000000">
      <w:pPr>
        <w:spacing w:after="80" w:line="360" w:lineRule="auto"/>
        <w:ind w:firstLine="567"/>
        <w:jc w:val="both"/>
      </w:pPr>
      <w:r>
        <w:t xml:space="preserve">Căn cứ </w:t>
      </w:r>
      <w:r>
        <w:rPr>
          <w:b/>
          <w:bCs/>
        </w:rPr>
        <w:t>Điều 117 BLDS 2015</w:t>
      </w:r>
      <w:r>
        <w:t>, một GDDS có hiệu lực khi đáp ứng đầy đủ bốn điều kiện sau:</w:t>
      </w:r>
    </w:p>
    <w:p w14:paraId="248DB27E" w14:textId="77777777" w:rsidR="00017BAD" w:rsidRDefault="00000000">
      <w:pPr>
        <w:spacing w:before="160" w:after="80" w:line="360" w:lineRule="auto"/>
      </w:pPr>
      <w:r>
        <w:rPr>
          <w:b/>
          <w:bCs/>
          <w:i/>
          <w:iCs/>
        </w:rPr>
        <w:t>1. Chủ thể có năng lực pháp luật dân sự, năng lực hành vi dân sự phù hợp với giao dịch dân sự được xác lập (điểm a khoản 1 Điều 117)</w:t>
      </w:r>
    </w:p>
    <w:p w14:paraId="6B053F3F" w14:textId="77777777" w:rsidR="00017BAD" w:rsidRDefault="00000000">
      <w:pPr>
        <w:spacing w:after="80" w:line="360" w:lineRule="auto"/>
        <w:ind w:firstLine="567"/>
        <w:jc w:val="both"/>
      </w:pPr>
      <w:r>
        <w:t>Đây là điều kiện về chủ thể - tiền đề bảo đảm GDDS được xác lập bởi người có khả năng nhận thức và chịu trách nhiệm về hành vi của mình.</w:t>
      </w:r>
    </w:p>
    <w:p w14:paraId="43584BEC" w14:textId="77777777" w:rsidR="00017BAD" w:rsidRDefault="00000000">
      <w:pPr>
        <w:pStyle w:val="ListParagraph"/>
        <w:numPr>
          <w:ilvl w:val="0"/>
          <w:numId w:val="2"/>
        </w:numPr>
        <w:spacing w:after="60" w:line="320" w:lineRule="auto"/>
        <w:jc w:val="both"/>
      </w:pPr>
      <w:r>
        <w:rPr>
          <w:b/>
          <w:bCs/>
        </w:rPr>
        <w:t>Đối với cá nhân</w:t>
      </w:r>
      <w:r>
        <w:t>: phải có năng lực pháp luật dân sự (NLPLDS) và năng lực hành vi dân sự (NLHVDS) phù hợp với GDDS xác lập. NLPLDS có từ khi cá nhân sinh ra và chấm dứt khi chết (Điều 16). NLHVDS phụ thuộc vào độ tuổi và khả năng nhận thức:</w:t>
      </w:r>
    </w:p>
    <w:p w14:paraId="2D657646" w14:textId="77777777" w:rsidR="00017BAD" w:rsidRDefault="00000000">
      <w:pPr>
        <w:pStyle w:val="ListParagraph"/>
        <w:numPr>
          <w:ilvl w:val="0"/>
          <w:numId w:val="2"/>
        </w:numPr>
        <w:spacing w:after="60" w:line="320" w:lineRule="auto"/>
        <w:jc w:val="both"/>
      </w:pPr>
      <w:r>
        <w:t>+ Người từ đủ 18 tuổi trở lên, không bị mất, hạn chế NLHVDS hoặc có khó khăn trong nhận thức: có NLHVDS đầy đủ;</w:t>
      </w:r>
    </w:p>
    <w:p w14:paraId="28773798" w14:textId="77777777" w:rsidR="00017BAD" w:rsidRDefault="00000000">
      <w:pPr>
        <w:pStyle w:val="ListParagraph"/>
        <w:numPr>
          <w:ilvl w:val="0"/>
          <w:numId w:val="2"/>
        </w:numPr>
        <w:spacing w:after="60" w:line="320" w:lineRule="auto"/>
        <w:jc w:val="both"/>
      </w:pPr>
      <w:r>
        <w:t>+ Người dưới 6 tuổi: không có NLHVDS, mọi GDDS phải do người đại diện theo pháp luật xác lập, thực hiện;</w:t>
      </w:r>
    </w:p>
    <w:p w14:paraId="009C85BC" w14:textId="77777777" w:rsidR="00017BAD" w:rsidRDefault="00000000">
      <w:pPr>
        <w:pStyle w:val="ListParagraph"/>
        <w:numPr>
          <w:ilvl w:val="0"/>
          <w:numId w:val="2"/>
        </w:numPr>
        <w:spacing w:after="60" w:line="320" w:lineRule="auto"/>
        <w:jc w:val="both"/>
      </w:pPr>
      <w:r>
        <w:lastRenderedPageBreak/>
        <w:t>+ Người từ đủ 6 đến chưa đủ 15 tuổi: GDDS phải được người đại diện theo pháp luật đồng ý, trừ giao dịch phục vụ nhu cầu sinh hoạt hàng ngày phù hợp với lứa tuổi;</w:t>
      </w:r>
    </w:p>
    <w:p w14:paraId="0FC323AA" w14:textId="77777777" w:rsidR="00017BAD" w:rsidRDefault="00000000">
      <w:pPr>
        <w:pStyle w:val="ListParagraph"/>
        <w:numPr>
          <w:ilvl w:val="0"/>
          <w:numId w:val="2"/>
        </w:numPr>
        <w:spacing w:after="60" w:line="320" w:lineRule="auto"/>
        <w:jc w:val="both"/>
      </w:pPr>
      <w:r>
        <w:t>+ Người từ đủ 15 đến chưa đủ 18 tuổi: được tự xác lập, thực hiện GDDS, trừ giao dịch liên quan đến bất động sản, động sản phải đăng ký và giao dịch khác theo luật định phải có sự đồng ý của người đại diện.</w:t>
      </w:r>
    </w:p>
    <w:p w14:paraId="4C3BE43C" w14:textId="77777777" w:rsidR="00017BAD" w:rsidRDefault="00000000">
      <w:pPr>
        <w:pStyle w:val="ListParagraph"/>
        <w:numPr>
          <w:ilvl w:val="0"/>
          <w:numId w:val="2"/>
        </w:numPr>
        <w:spacing w:after="60" w:line="320" w:lineRule="auto"/>
        <w:jc w:val="both"/>
      </w:pPr>
      <w:r>
        <w:rPr>
          <w:b/>
          <w:bCs/>
        </w:rPr>
        <w:t>Đối với pháp nhân</w:t>
      </w:r>
      <w:r>
        <w:t>: phải có NLPLDS phù hợp với mục đích hoạt động được ghi nhận trong điều lệ hoặc quyết định thành lập (Điều 86), và xác lập GDDS thông qua người đại diện hợp pháp (đại diện theo pháp luật hoặc theo ủy quyền).</w:t>
      </w:r>
    </w:p>
    <w:p w14:paraId="30AFAEF9" w14:textId="77777777" w:rsidR="00017BAD" w:rsidRDefault="00000000">
      <w:pPr>
        <w:spacing w:before="160" w:after="80" w:line="360" w:lineRule="auto"/>
      </w:pPr>
      <w:r>
        <w:rPr>
          <w:b/>
          <w:bCs/>
          <w:i/>
          <w:iCs/>
        </w:rPr>
        <w:t>2. Chủ thể tham gia giao dịch dân sự hoàn toàn tự nguyện (điểm b khoản 1 Điều 117)</w:t>
      </w:r>
    </w:p>
    <w:p w14:paraId="5ED84818" w14:textId="77777777" w:rsidR="00017BAD" w:rsidRDefault="00000000">
      <w:pPr>
        <w:spacing w:after="80" w:line="360" w:lineRule="auto"/>
        <w:ind w:firstLine="567"/>
        <w:jc w:val="both"/>
      </w:pPr>
      <w:r>
        <w:t>Tự nguyện là biểu hiện của sự thống nhất giữa ý chí bên trong (mong muốn thực sự) và sự thể hiện ý chí ra bên ngoài. Điều kiện này phản ánh nguyên tắc cốt lõi của luật dân sự: tự do, tự nguyện cam kết, thỏa thuận (khoản 2 Điều 3).</w:t>
      </w:r>
    </w:p>
    <w:p w14:paraId="2A529F0E" w14:textId="77777777" w:rsidR="00017BAD" w:rsidRDefault="00000000">
      <w:pPr>
        <w:spacing w:after="80" w:line="360" w:lineRule="auto"/>
        <w:ind w:firstLine="567"/>
        <w:jc w:val="both"/>
      </w:pPr>
      <w:r>
        <w:t>GDDS bị coi là không tự nguyện khi chủ thể xác lập trong tình trạng bị nhầm lẫn, lừa dối, đe dọa, cưỡng ép, hoặc không nhận thức, làm chủ được hành vi của mình.</w:t>
      </w:r>
    </w:p>
    <w:p w14:paraId="3EACA9DD" w14:textId="77777777" w:rsidR="00017BAD" w:rsidRDefault="00000000">
      <w:pPr>
        <w:spacing w:before="160" w:after="80" w:line="360" w:lineRule="auto"/>
      </w:pPr>
      <w:r>
        <w:rPr>
          <w:b/>
          <w:bCs/>
          <w:i/>
          <w:iCs/>
        </w:rPr>
        <w:t>3. Mục đích và nội dung của giao dịch dân sự không vi phạm điều cấm của luật, không trái đạo đức xã hội (điểm c khoản 1 Điều 117)</w:t>
      </w:r>
    </w:p>
    <w:p w14:paraId="00FD4B98" w14:textId="77777777" w:rsidR="00017BAD" w:rsidRDefault="00000000">
      <w:pPr>
        <w:pStyle w:val="ListParagraph"/>
        <w:numPr>
          <w:ilvl w:val="0"/>
          <w:numId w:val="2"/>
        </w:numPr>
        <w:spacing w:after="60" w:line="320" w:lineRule="auto"/>
        <w:jc w:val="both"/>
      </w:pPr>
      <w:r>
        <w:rPr>
          <w:b/>
          <w:bCs/>
        </w:rPr>
        <w:t>Mục đích</w:t>
      </w:r>
      <w:r>
        <w:t xml:space="preserve"> của GDDS là lợi ích mà chủ thể mong muốn đạt được khi xác lập giao dịch (Điều 118).</w:t>
      </w:r>
    </w:p>
    <w:p w14:paraId="1049C490" w14:textId="77777777" w:rsidR="00017BAD" w:rsidRDefault="00000000">
      <w:pPr>
        <w:pStyle w:val="ListParagraph"/>
        <w:numPr>
          <w:ilvl w:val="0"/>
          <w:numId w:val="2"/>
        </w:numPr>
        <w:spacing w:after="60" w:line="320" w:lineRule="auto"/>
        <w:jc w:val="both"/>
      </w:pPr>
      <w:r>
        <w:rPr>
          <w:b/>
          <w:bCs/>
        </w:rPr>
        <w:t>Nội dung</w:t>
      </w:r>
      <w:r>
        <w:t xml:space="preserve"> là tổng thể các điều khoản về quyền, nghĩa vụ mà các bên thỏa thuận.</w:t>
      </w:r>
    </w:p>
    <w:p w14:paraId="79068095" w14:textId="77777777" w:rsidR="00017BAD" w:rsidRDefault="00000000">
      <w:pPr>
        <w:spacing w:after="80" w:line="360" w:lineRule="auto"/>
        <w:ind w:firstLine="567"/>
        <w:jc w:val="both"/>
      </w:pPr>
      <w:r>
        <w:t xml:space="preserve">Theo </w:t>
      </w:r>
      <w:r>
        <w:rPr>
          <w:b/>
          <w:bCs/>
        </w:rPr>
        <w:t>Điều 123 BLDS 2015</w:t>
      </w:r>
      <w:r>
        <w:t>: “Điều cấm của luật là những quy định của luật không cho phép chủ thể thực hiện những hành vi nhất định”; “Đạo đức xã hội là những chuẩn mực ứng xử chung trong đời sống xã hội, được cộng đồng thừa nhận và tôn trọng”.</w:t>
      </w:r>
    </w:p>
    <w:p w14:paraId="097FC948" w14:textId="77777777" w:rsidR="00017BAD" w:rsidRDefault="00000000">
      <w:pPr>
        <w:spacing w:before="160" w:after="80" w:line="360" w:lineRule="auto"/>
      </w:pPr>
      <w:r>
        <w:rPr>
          <w:b/>
          <w:bCs/>
          <w:i/>
          <w:iCs/>
        </w:rPr>
        <w:t>4. Hình thức của giao dịch dân sự là điều kiện có hiệu lực trong trường hợp luật có quy định (khoản 2 Điều 117)</w:t>
      </w:r>
    </w:p>
    <w:p w14:paraId="065995AB" w14:textId="77777777" w:rsidR="00017BAD" w:rsidRDefault="00000000">
      <w:pPr>
        <w:spacing w:after="80" w:line="360" w:lineRule="auto"/>
        <w:ind w:firstLine="567"/>
        <w:jc w:val="both"/>
      </w:pPr>
      <w:r>
        <w:t xml:space="preserve">Theo </w:t>
      </w:r>
      <w:r>
        <w:rPr>
          <w:b/>
          <w:bCs/>
        </w:rPr>
        <w:t>Điều 119</w:t>
      </w:r>
      <w:r>
        <w:t>, GDDS được thể hiện bằng lời nói, văn bản hoặc hành vi cụ thể. GDDS thông qua phương tiện điện tử dưới hình thức thông điệp dữ liệu được coi là giao dịch bằng văn bản.</w:t>
      </w:r>
    </w:p>
    <w:p w14:paraId="35CF71AD" w14:textId="77777777" w:rsidR="00017BAD" w:rsidRDefault="00000000">
      <w:pPr>
        <w:spacing w:after="80" w:line="360" w:lineRule="auto"/>
        <w:ind w:firstLine="567"/>
        <w:jc w:val="both"/>
      </w:pPr>
      <w:r>
        <w:t xml:space="preserve">Trong các trường hợp luật yêu cầu hình thức là điều kiện có hiệu lực (ví dụ: chuyển nhượng quyền sử dụng đất phải lập thành văn bản, công chứng/chứng thực; di chúc bằng </w:t>
      </w:r>
      <w:r>
        <w:lastRenderedPageBreak/>
        <w:t>văn bản có người làm chứng…), việc không tuân thủ hình thức sẽ dẫn đến GDDS vô hiệu (trừ trường hợp tại Điều 129).</w:t>
      </w:r>
    </w:p>
    <w:p w14:paraId="7248C84B" w14:textId="77777777" w:rsidR="00017BAD" w:rsidRDefault="00000000">
      <w:pPr>
        <w:spacing w:before="240" w:after="120" w:line="360" w:lineRule="auto"/>
      </w:pPr>
      <w:r>
        <w:rPr>
          <w:b/>
          <w:bCs/>
          <w:sz w:val="28"/>
          <w:szCs w:val="28"/>
        </w:rPr>
        <w:t>III. DẤU HIỆU XÁC ĐỊNH GIAO DỊCH DÂN SỰ VÔ HIỆU</w:t>
      </w:r>
    </w:p>
    <w:p w14:paraId="6D38EC44" w14:textId="77777777" w:rsidR="00017BAD" w:rsidRDefault="00000000">
      <w:pPr>
        <w:spacing w:after="80" w:line="360" w:lineRule="auto"/>
        <w:ind w:firstLine="567"/>
        <w:jc w:val="both"/>
      </w:pPr>
      <w:r>
        <w:t xml:space="preserve">Theo </w:t>
      </w:r>
      <w:r>
        <w:rPr>
          <w:b/>
          <w:bCs/>
        </w:rPr>
        <w:t>Điều 122 BLDS 2015</w:t>
      </w:r>
      <w:r>
        <w:t xml:space="preserve">: “Giao dịch dân sự không có một trong các điều kiện được quy định tại Điều 117 của Bộ luật này thì vô hiệu, trừ trường hợp Bộ luật này có quy định khác”. Như vậy, dấu hiệu chung để xác định GDDS vô hiệu là </w:t>
      </w:r>
      <w:r>
        <w:rPr>
          <w:b/>
          <w:bCs/>
        </w:rPr>
        <w:t>thiếu một trong bốn điều kiện có hiệu lực</w:t>
      </w:r>
      <w:r>
        <w:t>. BLDS 2015 quy định các trường hợp vô hiệu cụ thể như sau:</w:t>
      </w:r>
    </w:p>
    <w:p w14:paraId="3BCCD2D5" w14:textId="77777777" w:rsidR="00017BAD" w:rsidRDefault="00000000">
      <w:pPr>
        <w:spacing w:before="160" w:after="80" w:line="360" w:lineRule="auto"/>
      </w:pPr>
      <w:r>
        <w:rPr>
          <w:b/>
          <w:bCs/>
          <w:i/>
          <w:iCs/>
        </w:rPr>
        <w:t>1. Vô hiệu do vi phạm điều cấm của luật, trái đạo đức xã hội (Điều 123)</w:t>
      </w:r>
    </w:p>
    <w:p w14:paraId="3BC0FF09" w14:textId="77777777" w:rsidR="00017BAD" w:rsidRDefault="00000000">
      <w:pPr>
        <w:spacing w:after="80" w:line="360" w:lineRule="auto"/>
        <w:ind w:firstLine="567"/>
        <w:jc w:val="both"/>
      </w:pPr>
      <w:r>
        <w:t>Khi mục đích, nội dung GDDS vi phạm điều cấm của luật hoặc trái đạo đức xã hội thì GDDS vô hiệu tuyệt đối, không phụ thuộc vào ý chí của các bên.</w:t>
      </w:r>
    </w:p>
    <w:p w14:paraId="7604C4F2" w14:textId="77777777" w:rsidR="00017BAD" w:rsidRDefault="00000000">
      <w:pPr>
        <w:spacing w:before="160" w:after="80" w:line="360" w:lineRule="auto"/>
      </w:pPr>
      <w:r>
        <w:rPr>
          <w:b/>
          <w:bCs/>
          <w:i/>
          <w:iCs/>
        </w:rPr>
        <w:t>2. Vô hiệu do giả tạo (Điều 124)</w:t>
      </w:r>
    </w:p>
    <w:p w14:paraId="30047F76" w14:textId="77777777" w:rsidR="00017BAD" w:rsidRDefault="00000000">
      <w:pPr>
        <w:pStyle w:val="ListParagraph"/>
        <w:numPr>
          <w:ilvl w:val="0"/>
          <w:numId w:val="2"/>
        </w:numPr>
        <w:spacing w:after="60" w:line="320" w:lineRule="auto"/>
        <w:jc w:val="both"/>
      </w:pPr>
      <w:r>
        <w:t>Giả tạo nhằm che giấu một giao dịch khác: GDDS giả tạo vô hiệu, GDDS bị che giấu vẫn có hiệu lực, trừ khi cũng bị vô hiệu.</w:t>
      </w:r>
    </w:p>
    <w:p w14:paraId="379A9BF9" w14:textId="77777777" w:rsidR="00017BAD" w:rsidRDefault="00000000">
      <w:pPr>
        <w:pStyle w:val="ListParagraph"/>
        <w:numPr>
          <w:ilvl w:val="0"/>
          <w:numId w:val="2"/>
        </w:numPr>
        <w:spacing w:after="60" w:line="320" w:lineRule="auto"/>
        <w:jc w:val="both"/>
      </w:pPr>
      <w:r>
        <w:t>Giả tạo nhằm trốn tránh nghĩa vụ với người thứ ba: GDDS đó vô hiệu.</w:t>
      </w:r>
    </w:p>
    <w:p w14:paraId="415E6B96" w14:textId="77777777" w:rsidR="00017BAD" w:rsidRDefault="00000000">
      <w:pPr>
        <w:spacing w:before="160" w:after="80" w:line="360" w:lineRule="auto"/>
      </w:pPr>
      <w:r>
        <w:rPr>
          <w:b/>
          <w:bCs/>
          <w:i/>
          <w:iCs/>
        </w:rPr>
        <w:t>3. Vô hiệu do người chưa thành niên, người mất NLHVDS, người có khó khăn trong nhận thức, làm chủ hành vi, người bị hạn chế NLHVDS xác lập, thực hiện (Điều 125)</w:t>
      </w:r>
    </w:p>
    <w:p w14:paraId="5E5221F2" w14:textId="77777777" w:rsidR="00017BAD" w:rsidRDefault="00000000">
      <w:pPr>
        <w:spacing w:after="80" w:line="360" w:lineRule="auto"/>
        <w:ind w:firstLine="567"/>
        <w:jc w:val="both"/>
      </w:pPr>
      <w:r>
        <w:t>Theo yêu cầu của người đại diện, Tòa án tuyên bố GDDS vô hiệu, trừ trường hợp: (i) giao dịch phục vụ nhu cầu sinh hoạt hàng ngày phù hợp với lứa tuổi/khả năng nhận thức; (ii) chỉ làm phát sinh quyền, miễn trừ nghĩa vụ; (iii) được người đại diện công nhận hiệu lực sau khi đã thành niên/khôi phục NLHVDS.</w:t>
      </w:r>
    </w:p>
    <w:p w14:paraId="0FED338F" w14:textId="77777777" w:rsidR="00017BAD" w:rsidRDefault="00000000">
      <w:pPr>
        <w:spacing w:before="160" w:after="80" w:line="360" w:lineRule="auto"/>
      </w:pPr>
      <w:r>
        <w:rPr>
          <w:b/>
          <w:bCs/>
          <w:i/>
          <w:iCs/>
        </w:rPr>
        <w:t>4. Vô hiệu do bị nhầm lẫn (Điều 126)</w:t>
      </w:r>
    </w:p>
    <w:p w14:paraId="19DFA4FB" w14:textId="77777777" w:rsidR="00017BAD" w:rsidRDefault="00000000">
      <w:pPr>
        <w:spacing w:after="80" w:line="360" w:lineRule="auto"/>
        <w:ind w:firstLine="567"/>
        <w:jc w:val="both"/>
      </w:pPr>
      <w:r>
        <w:t>Khi GDDS được xác lập có sự nhầm lẫn làm cho một bên hoặc các bên không đạt được mục đích thì bên bị nhầm lẫn có quyền yêu cầu Tòa án tuyên bố vô hiệu, trừ khi mục đích vẫn đạt được hoặc các bên có thể khắc phục được.</w:t>
      </w:r>
    </w:p>
    <w:p w14:paraId="33C8F538" w14:textId="77777777" w:rsidR="00017BAD" w:rsidRDefault="00000000">
      <w:pPr>
        <w:spacing w:before="160" w:after="80" w:line="360" w:lineRule="auto"/>
      </w:pPr>
      <w:r>
        <w:rPr>
          <w:b/>
          <w:bCs/>
          <w:i/>
          <w:iCs/>
        </w:rPr>
        <w:t>5. Vô hiệu do bị lừa dối, đe dọa, cưỡng ép (Điều 127)</w:t>
      </w:r>
    </w:p>
    <w:p w14:paraId="3F743C7C" w14:textId="77777777" w:rsidR="00017BAD" w:rsidRDefault="00000000">
      <w:pPr>
        <w:pStyle w:val="ListParagraph"/>
        <w:numPr>
          <w:ilvl w:val="0"/>
          <w:numId w:val="2"/>
        </w:numPr>
        <w:spacing w:after="60" w:line="320" w:lineRule="auto"/>
        <w:jc w:val="both"/>
      </w:pPr>
      <w:r>
        <w:rPr>
          <w:b/>
          <w:bCs/>
        </w:rPr>
        <w:lastRenderedPageBreak/>
        <w:t>Lừa dối</w:t>
      </w:r>
      <w:r>
        <w:t>: hành vi cố ý của một bên hoặc người thứ ba nhằm làm cho bên kia hiểu sai lệch về chủ thể, tính chất của đối tượng hoặc nội dung của GDDS nên đã xác lập giao dịch đó.</w:t>
      </w:r>
    </w:p>
    <w:p w14:paraId="69414466" w14:textId="77777777" w:rsidR="00017BAD" w:rsidRDefault="00000000">
      <w:pPr>
        <w:pStyle w:val="ListParagraph"/>
        <w:numPr>
          <w:ilvl w:val="0"/>
          <w:numId w:val="2"/>
        </w:numPr>
        <w:spacing w:after="60" w:line="320" w:lineRule="auto"/>
        <w:jc w:val="both"/>
      </w:pPr>
      <w:r>
        <w:rPr>
          <w:b/>
          <w:bCs/>
        </w:rPr>
        <w:t>Đe dọa, cưỡng ép</w:t>
      </w:r>
      <w:r>
        <w:t>: hành vi cố ý làm cho bên kia phải thực hiện GDDS để tránh thiệt hại về tính mạng, sức khỏe, danh dự, uy tín, nhân phẩm, tài sản của mình hoặc người thân thích.</w:t>
      </w:r>
    </w:p>
    <w:p w14:paraId="07E9F7B7" w14:textId="77777777" w:rsidR="00017BAD" w:rsidRDefault="00000000">
      <w:pPr>
        <w:spacing w:before="160" w:after="80" w:line="360" w:lineRule="auto"/>
      </w:pPr>
      <w:r>
        <w:rPr>
          <w:b/>
          <w:bCs/>
          <w:i/>
          <w:iCs/>
        </w:rPr>
        <w:t>6. Vô hiệu do người xác lập không nhận thức và làm chủ được hành vi của mình (Điều 128)</w:t>
      </w:r>
    </w:p>
    <w:p w14:paraId="35D0E838" w14:textId="77777777" w:rsidR="00017BAD" w:rsidRDefault="00000000">
      <w:pPr>
        <w:spacing w:after="80" w:line="360" w:lineRule="auto"/>
        <w:ind w:firstLine="567"/>
        <w:jc w:val="both"/>
      </w:pPr>
      <w:r>
        <w:t>Người có NLHVDS nhưng tại thời điểm xác lập GDDS không nhận thức, làm chủ được hành vi (do say rượu, dùng chất kích thích, tâm thần tạm thời…) có quyền yêu cầu Tòa án tuyên bố GDDS vô hiệu.</w:t>
      </w:r>
    </w:p>
    <w:p w14:paraId="2A6983C9" w14:textId="77777777" w:rsidR="00017BAD" w:rsidRDefault="00000000">
      <w:pPr>
        <w:spacing w:before="160" w:after="80" w:line="360" w:lineRule="auto"/>
      </w:pPr>
      <w:r>
        <w:rPr>
          <w:b/>
          <w:bCs/>
          <w:i/>
          <w:iCs/>
        </w:rPr>
        <w:t>7. Vô hiệu do không tuân thủ quy định về hình thức (Điều 129)</w:t>
      </w:r>
    </w:p>
    <w:p w14:paraId="2CF18EE3" w14:textId="77777777" w:rsidR="00017BAD" w:rsidRDefault="00000000">
      <w:pPr>
        <w:spacing w:after="80" w:line="360" w:lineRule="auto"/>
        <w:ind w:firstLine="567"/>
        <w:jc w:val="both"/>
      </w:pPr>
      <w:r>
        <w:t>GDDS vi phạm quy định về hình thức bắt buộc thì vô hiệu, trừ hai trường hợp: (i) GDDS đã được xác lập theo quy định bằng văn bản nhưng văn bản không đúng quy định mà một bên/các bên đã thực hiện ít nhất hai phần ba nghĩa vụ; (ii) GDDS đã được xác lập bằng văn bản nhưng vi phạm về công chứng, chứng thực mà một bên/các bên đã thực hiện ít nhất hai phần ba nghĩa vụ thì theo yêu cầu, Tòa án ra quyết định công nhận hiệu lực.</w:t>
      </w:r>
    </w:p>
    <w:p w14:paraId="4A035E46" w14:textId="77777777" w:rsidR="00017BAD" w:rsidRDefault="00000000">
      <w:pPr>
        <w:spacing w:before="160" w:after="80" w:line="360" w:lineRule="auto"/>
      </w:pPr>
      <w:r>
        <w:rPr>
          <w:b/>
          <w:bCs/>
          <w:i/>
          <w:iCs/>
        </w:rPr>
        <w:t>8. Giao dịch dân sự vô hiệu từng phần (Điều 130)</w:t>
      </w:r>
    </w:p>
    <w:p w14:paraId="7E448C07" w14:textId="77777777" w:rsidR="00017BAD" w:rsidRDefault="00000000">
      <w:pPr>
        <w:spacing w:after="80" w:line="360" w:lineRule="auto"/>
        <w:ind w:firstLine="567"/>
        <w:jc w:val="both"/>
      </w:pPr>
      <w:r>
        <w:t>Khi một phần nội dung của GDDS vô hiệu nhưng không ảnh hưởng đến hiệu lực của các phần còn lại thì chỉ phần đó bị vô hiệu.</w:t>
      </w:r>
    </w:p>
    <w:p w14:paraId="26BCD843" w14:textId="77777777" w:rsidR="00017BAD" w:rsidRDefault="00000000">
      <w:pPr>
        <w:spacing w:before="160" w:after="80" w:line="360" w:lineRule="auto"/>
      </w:pPr>
      <w:r>
        <w:rPr>
          <w:b/>
          <w:bCs/>
          <w:i/>
          <w:iCs/>
        </w:rPr>
        <w:t>* Phân loại GDDS vô hiệu</w:t>
      </w:r>
    </w:p>
    <w:p w14:paraId="35C15596" w14:textId="77777777" w:rsidR="00017BAD" w:rsidRDefault="00000000">
      <w:pPr>
        <w:pStyle w:val="ListParagraph"/>
        <w:numPr>
          <w:ilvl w:val="0"/>
          <w:numId w:val="2"/>
        </w:numPr>
        <w:spacing w:after="60" w:line="320" w:lineRule="auto"/>
        <w:jc w:val="both"/>
      </w:pPr>
      <w:r>
        <w:rPr>
          <w:b/>
          <w:bCs/>
        </w:rPr>
        <w:t>Vô hiệu tuyệt đối</w:t>
      </w:r>
      <w:r>
        <w:t xml:space="preserve">: áp dụng cho các trường hợp vi phạm điều cấm, trái đạo đức xã hội (Điều 123) và giả tạo (Điều 124). Đặc điểm: bất kỳ chủ thể nào có quyền lợi liên quan đều có quyền yêu cầu; Tòa án có thể chủ động tuyên; </w:t>
      </w:r>
      <w:r>
        <w:rPr>
          <w:b/>
          <w:bCs/>
        </w:rPr>
        <w:t>không có thời hiệu yêu cầu</w:t>
      </w:r>
      <w:r>
        <w:t xml:space="preserve"> (khoản 3 Điều 132).</w:t>
      </w:r>
    </w:p>
    <w:p w14:paraId="54FD2DC3" w14:textId="77777777" w:rsidR="00017BAD" w:rsidRDefault="00000000">
      <w:pPr>
        <w:pStyle w:val="ListParagraph"/>
        <w:numPr>
          <w:ilvl w:val="0"/>
          <w:numId w:val="2"/>
        </w:numPr>
        <w:spacing w:after="60" w:line="320" w:lineRule="auto"/>
        <w:jc w:val="both"/>
      </w:pPr>
      <w:r>
        <w:rPr>
          <w:b/>
          <w:bCs/>
        </w:rPr>
        <w:t>Vô hiệu tương đối</w:t>
      </w:r>
      <w:r>
        <w:t xml:space="preserve">: áp dụng cho các trường hợp tại các Điều 125, 126, 127, 128, 129. Đặc điểm: chỉ chủ thể bị xâm phạm hoặc người đại diện mới có quyền yêu cầu; thời hiệu yêu cầu là </w:t>
      </w:r>
      <w:r>
        <w:rPr>
          <w:b/>
          <w:bCs/>
        </w:rPr>
        <w:t>02 năm</w:t>
      </w:r>
      <w:r>
        <w:t xml:space="preserve"> kể từ ngày phát hiện hoặc kể từ ngày giao dịch được xác lập (khoản 1 Điều 132).</w:t>
      </w:r>
    </w:p>
    <w:p w14:paraId="0FD17C9E" w14:textId="77777777" w:rsidR="00017BAD" w:rsidRDefault="00000000">
      <w:pPr>
        <w:spacing w:before="240" w:after="120" w:line="360" w:lineRule="auto"/>
      </w:pPr>
      <w:r>
        <w:rPr>
          <w:b/>
          <w:bCs/>
          <w:sz w:val="28"/>
          <w:szCs w:val="28"/>
        </w:rPr>
        <w:t>IV. HẬU QUẢ PHÁP LÝ CỦA GIAO DỊCH DÂN SỰ VÔ HIỆU</w:t>
      </w:r>
    </w:p>
    <w:p w14:paraId="72A666A7" w14:textId="77777777" w:rsidR="00017BAD" w:rsidRDefault="00000000">
      <w:pPr>
        <w:spacing w:after="80" w:line="360" w:lineRule="auto"/>
        <w:ind w:firstLine="567"/>
        <w:jc w:val="both"/>
      </w:pPr>
      <w:r>
        <w:lastRenderedPageBreak/>
        <w:t xml:space="preserve">Hậu quả pháp lý của GDDS vô hiệu được quy định tại </w:t>
      </w:r>
      <w:r>
        <w:rPr>
          <w:b/>
          <w:bCs/>
        </w:rPr>
        <w:t>Điều 131 BLDS 2015</w:t>
      </w:r>
      <w:r>
        <w:t>, bao gồm:</w:t>
      </w:r>
    </w:p>
    <w:p w14:paraId="74BD09C7" w14:textId="77777777" w:rsidR="00017BAD" w:rsidRDefault="00000000">
      <w:pPr>
        <w:spacing w:before="160" w:after="80" w:line="360" w:lineRule="auto"/>
      </w:pPr>
      <w:r>
        <w:rPr>
          <w:b/>
          <w:bCs/>
          <w:i/>
          <w:iCs/>
        </w:rPr>
        <w:t>1. Không làm phát sinh, thay đổi, chấm dứt quyền, nghĩa vụ dân sự của các bên kể từ thời điểm giao dịch được xác lập (khoản 1 Điều 131)</w:t>
      </w:r>
    </w:p>
    <w:p w14:paraId="132D13E7" w14:textId="77777777" w:rsidR="00017BAD" w:rsidRDefault="00000000">
      <w:pPr>
        <w:spacing w:after="80" w:line="360" w:lineRule="auto"/>
        <w:ind w:firstLine="567"/>
        <w:jc w:val="both"/>
      </w:pPr>
      <w:r>
        <w:t>Đây là hậu quả cơ bản: GDDS vô hiệu coi như chưa từng tồn tại về mặt pháp lý, không có giá trị ràng buộc các bên ngay từ thời điểm xác lập (vô hiệu có tính hồi tố).</w:t>
      </w:r>
    </w:p>
    <w:p w14:paraId="43613B17" w14:textId="77777777" w:rsidR="00017BAD" w:rsidRDefault="00000000">
      <w:pPr>
        <w:spacing w:before="160" w:after="80" w:line="360" w:lineRule="auto"/>
      </w:pPr>
      <w:r>
        <w:rPr>
          <w:b/>
          <w:bCs/>
          <w:i/>
          <w:iCs/>
        </w:rPr>
        <w:t>2. Các bên khôi phục lại tình trạng ban đầu, hoàn trả cho nhau những gì đã nhận (khoản 2 Điều 131)</w:t>
      </w:r>
    </w:p>
    <w:p w14:paraId="0424C7B6" w14:textId="77777777" w:rsidR="00017BAD" w:rsidRDefault="00000000">
      <w:pPr>
        <w:spacing w:after="80" w:line="360" w:lineRule="auto"/>
        <w:ind w:firstLine="567"/>
        <w:jc w:val="both"/>
      </w:pPr>
      <w:r>
        <w:t>Trường hợp không thể hoàn trả được bằng hiện vật thì trị giá thành tiền để hoàn trả. Đây là nguyên tắc nhằm đưa các bên trở về vị trí pháp lý trước khi xác lập GDDS.</w:t>
      </w:r>
    </w:p>
    <w:p w14:paraId="120E493E" w14:textId="77777777" w:rsidR="00017BAD" w:rsidRDefault="00000000">
      <w:pPr>
        <w:spacing w:before="160" w:after="80" w:line="360" w:lineRule="auto"/>
      </w:pPr>
      <w:r>
        <w:rPr>
          <w:b/>
          <w:bCs/>
          <w:i/>
          <w:iCs/>
        </w:rPr>
        <w:t>3. Bên ngay tình trong việc thu hoa lợi, lợi tức không phải hoàn trả lại hoa lợi, lợi tức đó (khoản 3 Điều 131)</w:t>
      </w:r>
    </w:p>
    <w:p w14:paraId="491C84DF" w14:textId="77777777" w:rsidR="00017BAD" w:rsidRDefault="00000000">
      <w:pPr>
        <w:spacing w:after="80" w:line="360" w:lineRule="auto"/>
        <w:ind w:firstLine="567"/>
        <w:jc w:val="both"/>
      </w:pPr>
      <w:r>
        <w:t>Quy định này bảo vệ chủ thể ngay tình, phù hợp với nguyên tắc thiện chí, trung thực trong giao lưu dân sự.</w:t>
      </w:r>
    </w:p>
    <w:p w14:paraId="66224570" w14:textId="77777777" w:rsidR="00017BAD" w:rsidRDefault="00000000">
      <w:pPr>
        <w:spacing w:before="160" w:after="80" w:line="360" w:lineRule="auto"/>
      </w:pPr>
      <w:r>
        <w:rPr>
          <w:b/>
          <w:bCs/>
          <w:i/>
          <w:iCs/>
        </w:rPr>
        <w:t>4. Bên có lỗi gây thiệt hại thì phải bồi thường (khoản 4 Điều 131)</w:t>
      </w:r>
    </w:p>
    <w:p w14:paraId="4BCEBF24" w14:textId="77777777" w:rsidR="00017BAD" w:rsidRDefault="00000000">
      <w:pPr>
        <w:spacing w:after="80" w:line="360" w:lineRule="auto"/>
        <w:ind w:firstLine="567"/>
        <w:jc w:val="both"/>
      </w:pPr>
      <w:r>
        <w:t>Áp dụng nguyên tắc trách nhiệm bồi thường thiệt hại ngoài hợp đồng. Mức bồi thường tương ứng với mức độ lỗi và thiệt hại thực tế.</w:t>
      </w:r>
    </w:p>
    <w:p w14:paraId="55879FAB" w14:textId="77777777" w:rsidR="00017BAD" w:rsidRDefault="00000000">
      <w:pPr>
        <w:spacing w:before="160" w:after="80" w:line="360" w:lineRule="auto"/>
      </w:pPr>
      <w:r>
        <w:rPr>
          <w:b/>
          <w:bCs/>
          <w:i/>
          <w:iCs/>
        </w:rPr>
        <w:t>5. Bảo vệ quyền lợi của người thứ ba ngay tình (Điều 133)</w:t>
      </w:r>
    </w:p>
    <w:p w14:paraId="4F0549EC" w14:textId="77777777" w:rsidR="00017BAD" w:rsidRDefault="00000000">
      <w:pPr>
        <w:spacing w:after="80" w:line="360" w:lineRule="auto"/>
        <w:ind w:firstLine="567"/>
        <w:jc w:val="both"/>
      </w:pPr>
      <w:r>
        <w:t>Đây là quy định đặc biệt nhằm bảo vệ tính ổn định của giao lưu dân sự và bên thứ ba ngay tình:</w:t>
      </w:r>
    </w:p>
    <w:p w14:paraId="18F1C4AB" w14:textId="77777777" w:rsidR="00017BAD" w:rsidRDefault="00000000">
      <w:pPr>
        <w:pStyle w:val="ListParagraph"/>
        <w:numPr>
          <w:ilvl w:val="0"/>
          <w:numId w:val="2"/>
        </w:numPr>
        <w:spacing w:after="60" w:line="320" w:lineRule="auto"/>
        <w:jc w:val="both"/>
      </w:pPr>
      <w:r>
        <w:t xml:space="preserve">Trường hợp GDDS vô hiệu nhưng đối tượng là tài sản </w:t>
      </w:r>
      <w:r>
        <w:rPr>
          <w:b/>
          <w:bCs/>
        </w:rPr>
        <w:t>không phải đăng ký</w:t>
      </w:r>
      <w:r>
        <w:t xml:space="preserve"> đã được chuyển giao cho người thứ ba ngay tình thì giao dịch với người thứ ba vẫn có hiệu lực, trừ trường hợp tại Điều 167 (đòi lại động sản không phải đăng ký quyền sở hữu từ người chiếm hữu ngay tình).</w:t>
      </w:r>
    </w:p>
    <w:p w14:paraId="0E12971C" w14:textId="77777777" w:rsidR="00017BAD" w:rsidRDefault="00000000">
      <w:pPr>
        <w:pStyle w:val="ListParagraph"/>
        <w:numPr>
          <w:ilvl w:val="0"/>
          <w:numId w:val="2"/>
        </w:numPr>
        <w:spacing w:after="60" w:line="320" w:lineRule="auto"/>
        <w:jc w:val="both"/>
      </w:pPr>
      <w:r>
        <w:t xml:space="preserve">Trường hợp tài sản </w:t>
      </w:r>
      <w:r>
        <w:rPr>
          <w:b/>
          <w:bCs/>
        </w:rPr>
        <w:t>phải đăng ký</w:t>
      </w:r>
      <w:r>
        <w:t xml:space="preserve"> mà đã được đăng ký tại cơ quan nhà nước có thẩm quyền, sau đó được chuyển giao bằng GDDS khác cho người thứ ba ngay tình và người này căn cứ vào việc đăng ký đó mà xác lập, thực hiện giao dịch thì giao dịch đó </w:t>
      </w:r>
      <w:r>
        <w:rPr>
          <w:b/>
          <w:bCs/>
        </w:rPr>
        <w:t>không bị vô hiệu</w:t>
      </w:r>
      <w:r>
        <w:t>.</w:t>
      </w:r>
    </w:p>
    <w:p w14:paraId="7A3BCF7B" w14:textId="77777777" w:rsidR="00017BAD" w:rsidRDefault="00000000">
      <w:pPr>
        <w:pStyle w:val="ListParagraph"/>
        <w:numPr>
          <w:ilvl w:val="0"/>
          <w:numId w:val="2"/>
        </w:numPr>
        <w:spacing w:after="60" w:line="320" w:lineRule="auto"/>
        <w:jc w:val="both"/>
      </w:pPr>
      <w:r>
        <w:t xml:space="preserve">Trường hợp tài sản phải đăng ký mà chưa được đăng ký thì giao dịch với người thứ ba bị vô hiệu, trừ trường hợp người thứ ba ngay tình nhận được tài sản này </w:t>
      </w:r>
      <w:r>
        <w:lastRenderedPageBreak/>
        <w:t>thông qua bán đấu giá tại tổ chức có thẩm quyền hoặc giao dịch với người mà theo bản án, quyết định của cơ quan nhà nước có thẩm quyền là chủ sở hữu tài sản nhưng sau đó chủ thể này không phải là chủ sở hữu do bản án, quyết định bị hủy, sửa.</w:t>
      </w:r>
    </w:p>
    <w:p w14:paraId="6393985E" w14:textId="77777777" w:rsidR="00017BAD" w:rsidRDefault="00000000">
      <w:pPr>
        <w:pStyle w:val="ListParagraph"/>
        <w:numPr>
          <w:ilvl w:val="0"/>
          <w:numId w:val="2"/>
        </w:numPr>
        <w:spacing w:after="60" w:line="320" w:lineRule="auto"/>
        <w:jc w:val="both"/>
      </w:pPr>
      <w:r>
        <w:t xml:space="preserve">Chủ sở hữu không có quyền đòi lại tài sản từ người thứ ba ngay tình nếu giao dịch dân sự với người này không bị vô hiệu theo quy định trên nhưng có quyền </w:t>
      </w:r>
      <w:r>
        <w:rPr>
          <w:b/>
          <w:bCs/>
        </w:rPr>
        <w:t>khởi kiện, yêu cầu chủ thể có lỗi dẫn đến việc giao dịch được xác lập với người thứ ba phải hoàn trả những chi phí hợp lý và bồi thường thiệt hại</w:t>
      </w:r>
      <w:r>
        <w:t>.</w:t>
      </w:r>
    </w:p>
    <w:p w14:paraId="30494390" w14:textId="77777777" w:rsidR="00017BAD" w:rsidRDefault="00000000">
      <w:pPr>
        <w:spacing w:before="240" w:after="120" w:line="360" w:lineRule="auto"/>
      </w:pPr>
      <w:r>
        <w:rPr>
          <w:b/>
          <w:bCs/>
          <w:sz w:val="28"/>
          <w:szCs w:val="28"/>
        </w:rPr>
        <w:t>V. KẾT LUẬN</w:t>
      </w:r>
    </w:p>
    <w:p w14:paraId="05B1B6FE" w14:textId="77777777" w:rsidR="00017BAD" w:rsidRDefault="00000000">
      <w:pPr>
        <w:spacing w:after="80" w:line="360" w:lineRule="auto"/>
        <w:ind w:firstLine="567"/>
        <w:jc w:val="both"/>
      </w:pPr>
      <w:r>
        <w:t>Các quy định về điều kiện có hiệu lực, dấu hiệu vô hiệu và hậu quả pháp lý của GDDS tại BLDS 2015 thể hiện rõ chính sách của Nhà nước trong việc: (i) tôn trọng và bảo đảm quyền tự do, tự nguyện cam kết, thỏa thuận của các chủ thể; (ii) bảo vệ trật tự công cộng, đạo đức xã hội và quyền lợi của bên yếu thế; (iii) bảo vệ người thứ ba ngay tình nhằm bảo đảm tính ổn định, an toàn của giao lưu dân sự. Việc nắm vững các nội dung trên là cơ sở quan trọng để áp dụng đúng pháp luật trong thực tiễn giải quyết các tranh chấp dân sự.</w:t>
      </w:r>
    </w:p>
    <w:sectPr w:rsidR="00017BAD">
      <w:pgSz w:w="11906" w:h="16838"/>
      <w:pgMar w:top="1134" w:right="1134"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0D76"/>
    <w:multiLevelType w:val="hybridMultilevel"/>
    <w:tmpl w:val="5184AC16"/>
    <w:lvl w:ilvl="0" w:tplc="3C1A106E">
      <w:start w:val="1"/>
      <w:numFmt w:val="bullet"/>
      <w:lvlText w:val="●"/>
      <w:lvlJc w:val="left"/>
      <w:pPr>
        <w:ind w:left="720" w:hanging="360"/>
      </w:pPr>
    </w:lvl>
    <w:lvl w:ilvl="1" w:tplc="AF942CFC">
      <w:start w:val="1"/>
      <w:numFmt w:val="bullet"/>
      <w:lvlText w:val="○"/>
      <w:lvlJc w:val="left"/>
      <w:pPr>
        <w:ind w:left="1440" w:hanging="360"/>
      </w:pPr>
    </w:lvl>
    <w:lvl w:ilvl="2" w:tplc="255802D4">
      <w:start w:val="1"/>
      <w:numFmt w:val="bullet"/>
      <w:lvlText w:val="■"/>
      <w:lvlJc w:val="left"/>
      <w:pPr>
        <w:ind w:left="2160" w:hanging="360"/>
      </w:pPr>
    </w:lvl>
    <w:lvl w:ilvl="3" w:tplc="B91CE7EE">
      <w:start w:val="1"/>
      <w:numFmt w:val="bullet"/>
      <w:lvlText w:val="●"/>
      <w:lvlJc w:val="left"/>
      <w:pPr>
        <w:ind w:left="2880" w:hanging="360"/>
      </w:pPr>
    </w:lvl>
    <w:lvl w:ilvl="4" w:tplc="31329538">
      <w:start w:val="1"/>
      <w:numFmt w:val="bullet"/>
      <w:lvlText w:val="○"/>
      <w:lvlJc w:val="left"/>
      <w:pPr>
        <w:ind w:left="3600" w:hanging="360"/>
      </w:pPr>
    </w:lvl>
    <w:lvl w:ilvl="5" w:tplc="F076998A">
      <w:start w:val="1"/>
      <w:numFmt w:val="bullet"/>
      <w:lvlText w:val="■"/>
      <w:lvlJc w:val="left"/>
      <w:pPr>
        <w:ind w:left="4320" w:hanging="360"/>
      </w:pPr>
    </w:lvl>
    <w:lvl w:ilvl="6" w:tplc="D18EDAD2">
      <w:start w:val="1"/>
      <w:numFmt w:val="bullet"/>
      <w:lvlText w:val="●"/>
      <w:lvlJc w:val="left"/>
      <w:pPr>
        <w:ind w:left="5040" w:hanging="360"/>
      </w:pPr>
    </w:lvl>
    <w:lvl w:ilvl="7" w:tplc="50A439B8">
      <w:start w:val="1"/>
      <w:numFmt w:val="bullet"/>
      <w:lvlText w:val="●"/>
      <w:lvlJc w:val="left"/>
      <w:pPr>
        <w:ind w:left="5760" w:hanging="360"/>
      </w:pPr>
    </w:lvl>
    <w:lvl w:ilvl="8" w:tplc="BF4C6E6C">
      <w:start w:val="1"/>
      <w:numFmt w:val="bullet"/>
      <w:lvlText w:val="●"/>
      <w:lvlJc w:val="left"/>
      <w:pPr>
        <w:ind w:left="6480" w:hanging="360"/>
      </w:pPr>
    </w:lvl>
  </w:abstractNum>
  <w:abstractNum w:abstractNumId="1" w15:restartNumberingAfterBreak="0">
    <w:nsid w:val="35D86D4B"/>
    <w:multiLevelType w:val="hybridMultilevel"/>
    <w:tmpl w:val="6F6C01CE"/>
    <w:lvl w:ilvl="0" w:tplc="AEDA8908">
      <w:start w:val="1"/>
      <w:numFmt w:val="bullet"/>
      <w:lvlText w:val="•"/>
      <w:lvlJc w:val="left"/>
      <w:pPr>
        <w:ind w:left="720" w:hanging="360"/>
      </w:pPr>
    </w:lvl>
    <w:lvl w:ilvl="1" w:tplc="5B901A16">
      <w:numFmt w:val="decimal"/>
      <w:lvlText w:val=""/>
      <w:lvlJc w:val="left"/>
    </w:lvl>
    <w:lvl w:ilvl="2" w:tplc="245EB59A">
      <w:numFmt w:val="decimal"/>
      <w:lvlText w:val=""/>
      <w:lvlJc w:val="left"/>
    </w:lvl>
    <w:lvl w:ilvl="3" w:tplc="6C4C265C">
      <w:numFmt w:val="decimal"/>
      <w:lvlText w:val=""/>
      <w:lvlJc w:val="left"/>
    </w:lvl>
    <w:lvl w:ilvl="4" w:tplc="0F6AB640">
      <w:numFmt w:val="decimal"/>
      <w:lvlText w:val=""/>
      <w:lvlJc w:val="left"/>
    </w:lvl>
    <w:lvl w:ilvl="5" w:tplc="66CAD48E">
      <w:numFmt w:val="decimal"/>
      <w:lvlText w:val=""/>
      <w:lvlJc w:val="left"/>
    </w:lvl>
    <w:lvl w:ilvl="6" w:tplc="CA6ADB7A">
      <w:numFmt w:val="decimal"/>
      <w:lvlText w:val=""/>
      <w:lvlJc w:val="left"/>
    </w:lvl>
    <w:lvl w:ilvl="7" w:tplc="8B7CACCE">
      <w:numFmt w:val="decimal"/>
      <w:lvlText w:val=""/>
      <w:lvlJc w:val="left"/>
    </w:lvl>
    <w:lvl w:ilvl="8" w:tplc="DC5EC21C">
      <w:numFmt w:val="decimal"/>
      <w:lvlText w:val=""/>
      <w:lvlJc w:val="left"/>
    </w:lvl>
  </w:abstractNum>
  <w:num w:numId="1" w16cid:durableId="2072657812">
    <w:abstractNumId w:val="0"/>
    <w:lvlOverride w:ilvl="0">
      <w:startOverride w:val="1"/>
    </w:lvlOverride>
  </w:num>
  <w:num w:numId="2" w16cid:durableId="181104816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BAD"/>
    <w:rsid w:val="00017BAD"/>
    <w:rsid w:val="003956D3"/>
    <w:rsid w:val="00921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9F3DF"/>
  <w15:docId w15:val="{B0F35AFC-5E1E-4C30-B95F-723984FF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8787</Characters>
  <Application>Microsoft Office Word</Application>
  <DocSecurity>0</DocSecurity>
  <Lines>73</Lines>
  <Paragraphs>20</Paragraphs>
  <ScaleCrop>false</ScaleCrop>
  <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Câu 1 - Điều kiện hiệu lực và vô hiệu của GDDS</dc:title>
  <dc:creator>Mac Hải Đăng</dc:creator>
  <cp:lastModifiedBy>mac dang</cp:lastModifiedBy>
  <cp:revision>2</cp:revision>
  <dcterms:created xsi:type="dcterms:W3CDTF">2026-05-20T13:57:00Z</dcterms:created>
  <dcterms:modified xsi:type="dcterms:W3CDTF">2026-05-20T13:58:00Z</dcterms:modified>
</cp:coreProperties>
</file>