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Style10"/>
        <w:tblpPr w:leftFromText="180" w:rightFromText="180" w:vertAnchor="text" w:horzAnchor="margin" w:tblpY="69"/>
        <w:tblW w:w="9445" w:type="dxa"/>
        <w:tblInd w:w="0" w:type="dxa"/>
        <w:tblLayout w:type="fixed"/>
        <w:tblLook w:val="04A0" w:firstRow="1" w:lastRow="0" w:firstColumn="1" w:lastColumn="0" w:noHBand="0" w:noVBand="1"/>
      </w:tblPr>
      <w:tblGrid>
        <w:gridCol w:w="3261"/>
        <w:gridCol w:w="6184"/>
      </w:tblGrid>
      <w:tr w:rsidR="00E04D4E" w:rsidRPr="00214EA3" w14:paraId="345624B0" w14:textId="77777777" w:rsidTr="0064654E">
        <w:trPr>
          <w:trHeight w:val="1420"/>
        </w:trPr>
        <w:tc>
          <w:tcPr>
            <w:tcW w:w="3261" w:type="dxa"/>
          </w:tcPr>
          <w:p w14:paraId="68F304DF" w14:textId="77777777" w:rsidR="00E04D4E" w:rsidRPr="00214EA3" w:rsidRDefault="00E04D4E" w:rsidP="00E04D4E">
            <w:pPr>
              <w:spacing w:after="0" w:line="240" w:lineRule="auto"/>
              <w:jc w:val="center"/>
              <w:rPr>
                <w:rFonts w:ascii="Times New Roman" w:eastAsia="Times New Roman" w:hAnsi="Times New Roman" w:cs="Times New Roman"/>
                <w:color w:val="000000" w:themeColor="text1"/>
              </w:rPr>
            </w:pPr>
            <w:r w:rsidRPr="00214EA3">
              <w:rPr>
                <w:rFonts w:ascii="Times New Roman" w:eastAsia="Times New Roman" w:hAnsi="Times New Roman" w:cs="Times New Roman"/>
                <w:b/>
                <w:bCs/>
                <w:color w:val="000000" w:themeColor="text1"/>
                <w:sz w:val="26"/>
                <w:szCs w:val="26"/>
              </w:rPr>
              <w:t>BỘ CÔNG AN</w:t>
            </w:r>
          </w:p>
          <w:p w14:paraId="4E0EDC84" w14:textId="77777777" w:rsidR="00E04D4E" w:rsidRPr="00214EA3" w:rsidRDefault="00E04D4E" w:rsidP="00E04D4E">
            <w:pPr>
              <w:spacing w:after="0" w:line="240" w:lineRule="auto"/>
              <w:jc w:val="center"/>
              <w:rPr>
                <w:rFonts w:ascii="Times New Roman" w:eastAsia="Times New Roman" w:hAnsi="Times New Roman" w:cs="Times New Roman"/>
                <w:color w:val="000000" w:themeColor="text1"/>
                <w:sz w:val="26"/>
                <w:szCs w:val="26"/>
              </w:rPr>
            </w:pPr>
            <w:r w:rsidRPr="00214EA3">
              <w:rPr>
                <w:noProof/>
                <w:color w:val="000000" w:themeColor="text1"/>
                <w:lang w:val="en-US"/>
              </w:rPr>
              <mc:AlternateContent>
                <mc:Choice Requires="wps">
                  <w:drawing>
                    <wp:anchor distT="0" distB="0" distL="114300" distR="114300" simplePos="0" relativeHeight="251670528" behindDoc="0" locked="0" layoutInCell="1" allowOverlap="1" wp14:anchorId="67CA3D4A" wp14:editId="549E396A">
                      <wp:simplePos x="0" y="0"/>
                      <wp:positionH relativeFrom="column">
                        <wp:posOffset>565311</wp:posOffset>
                      </wp:positionH>
                      <wp:positionV relativeFrom="paragraph">
                        <wp:posOffset>41910</wp:posOffset>
                      </wp:positionV>
                      <wp:extent cx="731557" cy="0"/>
                      <wp:effectExtent l="0" t="0" r="30480" b="19050"/>
                      <wp:wrapNone/>
                      <wp:docPr id="4" name="Straight Connector 5"/>
                      <wp:cNvGraphicFramePr/>
                      <a:graphic xmlns:a="http://schemas.openxmlformats.org/drawingml/2006/main">
                        <a:graphicData uri="http://schemas.microsoft.com/office/word/2010/wordprocessingShape">
                          <wps:wsp>
                            <wps:cNvCnPr/>
                            <wps:spPr>
                              <a:xfrm>
                                <a:off x="0" y="0"/>
                                <a:ext cx="7315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1FEF4B8" id="Straight Connector 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5pt,3.3pt" to="102.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" strokecolor="black [3040]"/>
                  </w:pict>
                </mc:Fallback>
              </mc:AlternateContent>
            </w:r>
          </w:p>
          <w:p w14:paraId="2B2E974F" w14:textId="77777777" w:rsidR="00E04D4E" w:rsidRPr="00214EA3" w:rsidRDefault="00E04D4E" w:rsidP="00E04D4E">
            <w:pPr>
              <w:spacing w:after="0" w:line="240" w:lineRule="auto"/>
              <w:jc w:val="center"/>
              <w:rPr>
                <w:rFonts w:ascii="Times New Roman" w:eastAsia="Times New Roman" w:hAnsi="Times New Roman" w:cs="Times New Roman"/>
                <w:color w:val="000000" w:themeColor="text1"/>
                <w:sz w:val="26"/>
                <w:szCs w:val="26"/>
              </w:rPr>
            </w:pPr>
          </w:p>
          <w:p w14:paraId="356F85FF" w14:textId="77777777" w:rsidR="00E04D4E" w:rsidRPr="00214EA3" w:rsidRDefault="00E04D4E" w:rsidP="0064654E">
            <w:pPr>
              <w:spacing w:before="20" w:after="0" w:line="240" w:lineRule="auto"/>
              <w:jc w:val="center"/>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Số:        /BC-BCA</w:t>
            </w:r>
          </w:p>
        </w:tc>
        <w:tc>
          <w:tcPr>
            <w:tcW w:w="6184" w:type="dxa"/>
          </w:tcPr>
          <w:p w14:paraId="12744861" w14:textId="77777777" w:rsidR="00E04D4E" w:rsidRPr="00214EA3" w:rsidRDefault="00E04D4E" w:rsidP="0064654E">
            <w:pPr>
              <w:spacing w:after="0" w:line="240" w:lineRule="auto"/>
              <w:jc w:val="center"/>
              <w:rPr>
                <w:rFonts w:ascii="Times New Roman" w:eastAsia="Times New Roman" w:hAnsi="Times New Roman" w:cs="Times New Roman"/>
                <w:color w:val="000000" w:themeColor="text1"/>
              </w:rPr>
            </w:pPr>
            <w:r w:rsidRPr="00214EA3">
              <w:rPr>
                <w:rFonts w:ascii="Times New Roman" w:eastAsia="Times New Roman" w:hAnsi="Times New Roman" w:cs="Times New Roman"/>
                <w:b/>
                <w:bCs/>
                <w:color w:val="000000" w:themeColor="text1"/>
                <w:sz w:val="26"/>
                <w:szCs w:val="26"/>
              </w:rPr>
              <w:t>CỘNG HÒA XÃ HỘI CHỦ NGHĨA VIỆT NAM</w:t>
            </w:r>
          </w:p>
          <w:p w14:paraId="12096252" w14:textId="77777777" w:rsidR="00E04D4E" w:rsidRPr="00214EA3" w:rsidRDefault="00E04D4E" w:rsidP="0064654E">
            <w:pPr>
              <w:spacing w:after="0" w:line="240" w:lineRule="auto"/>
              <w:jc w:val="center"/>
              <w:rPr>
                <w:rFonts w:ascii="Times New Roman" w:eastAsia="Times New Roman" w:hAnsi="Times New Roman" w:cs="Times New Roman"/>
                <w:color w:val="000000" w:themeColor="text1"/>
              </w:rPr>
            </w:pPr>
            <w:r w:rsidRPr="00214EA3">
              <w:rPr>
                <w:rFonts w:ascii="Times New Roman" w:eastAsia="Times New Roman" w:hAnsi="Times New Roman" w:cs="Times New Roman"/>
                <w:b/>
                <w:bCs/>
                <w:color w:val="000000" w:themeColor="text1"/>
                <w:sz w:val="26"/>
                <w:szCs w:val="26"/>
              </w:rPr>
              <w:t>Độc lập - Tự do - Hạnh phúc</w:t>
            </w:r>
          </w:p>
          <w:p w14:paraId="4F2AFFA8" w14:textId="77777777" w:rsidR="0064654E" w:rsidRDefault="00E04D4E" w:rsidP="0064654E">
            <w:pPr>
              <w:spacing w:after="0" w:line="240" w:lineRule="auto"/>
              <w:rPr>
                <w:rFonts w:ascii="Times New Roman" w:eastAsia="Times New Roman" w:hAnsi="Times New Roman" w:cs="Times New Roman"/>
                <w:i/>
                <w:iCs/>
                <w:color w:val="000000" w:themeColor="text1"/>
                <w:sz w:val="26"/>
                <w:szCs w:val="26"/>
              </w:rPr>
            </w:pPr>
            <w:r w:rsidRPr="00214EA3">
              <w:rPr>
                <w:noProof/>
                <w:color w:val="000000" w:themeColor="text1"/>
                <w:lang w:val="en-US"/>
              </w:rPr>
              <mc:AlternateContent>
                <mc:Choice Requires="wps">
                  <w:drawing>
                    <wp:anchor distT="0" distB="0" distL="114300" distR="114300" simplePos="0" relativeHeight="251669504" behindDoc="0" locked="0" layoutInCell="1" allowOverlap="1" wp14:anchorId="550D892C" wp14:editId="5D502163">
                      <wp:simplePos x="0" y="0"/>
                      <wp:positionH relativeFrom="column">
                        <wp:posOffset>906145</wp:posOffset>
                      </wp:positionH>
                      <wp:positionV relativeFrom="paragraph">
                        <wp:posOffset>14605</wp:posOffset>
                      </wp:positionV>
                      <wp:extent cx="1935480" cy="0"/>
                      <wp:effectExtent l="0" t="0" r="0" b="0"/>
                      <wp:wrapNone/>
                      <wp:docPr id="530655208" name="Straight Connector 5"/>
                      <wp:cNvGraphicFramePr/>
                      <a:graphic xmlns:a="http://schemas.openxmlformats.org/drawingml/2006/main">
                        <a:graphicData uri="http://schemas.microsoft.com/office/word/2010/wordprocessingShape">
                          <wps:wsp>
                            <wps:cNvCnPr/>
                            <wps:spPr>
                              <a:xfrm>
                                <a:off x="0" y="0"/>
                                <a:ext cx="1935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F97F3F" id="Straight Connector 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35pt,1.15pt" to="223.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" strokecolor="black [3040]"/>
                  </w:pict>
                </mc:Fallback>
              </mc:AlternateContent>
            </w:r>
          </w:p>
          <w:p w14:paraId="5D4B7F0E" w14:textId="4F6D5CB8" w:rsidR="00E04D4E" w:rsidRPr="00214EA3" w:rsidRDefault="00E04D4E" w:rsidP="0064654E">
            <w:pPr>
              <w:spacing w:after="0" w:line="240" w:lineRule="auto"/>
              <w:jc w:val="right"/>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i/>
                <w:iCs/>
                <w:color w:val="000000" w:themeColor="text1"/>
                <w:sz w:val="26"/>
                <w:szCs w:val="26"/>
              </w:rPr>
              <w:t xml:space="preserve">       </w:t>
            </w:r>
            <w:r w:rsidRPr="00214EA3">
              <w:rPr>
                <w:rFonts w:ascii="Times New Roman" w:eastAsia="Times New Roman" w:hAnsi="Times New Roman" w:cs="Times New Roman"/>
                <w:i/>
                <w:iCs/>
                <w:color w:val="000000" w:themeColor="text1"/>
                <w:sz w:val="28"/>
                <w:szCs w:val="28"/>
              </w:rPr>
              <w:t xml:space="preserve">            Hà Nội, ngày     tháng    năm 2026</w:t>
            </w:r>
          </w:p>
        </w:tc>
      </w:tr>
    </w:tbl>
    <w:p w14:paraId="21C02EF3" w14:textId="0F36F80A" w:rsidR="00DD2E54" w:rsidRPr="00214EA3" w:rsidRDefault="0075365F" w:rsidP="0064654E">
      <w:pPr>
        <w:spacing w:before="120" w:after="80" w:line="240" w:lineRule="auto"/>
        <w:jc w:val="center"/>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b/>
          <w:bCs/>
          <w:color w:val="000000" w:themeColor="text1"/>
          <w:sz w:val="28"/>
          <w:szCs w:val="28"/>
        </w:rPr>
        <w:t>BÁO CÁO</w:t>
      </w:r>
    </w:p>
    <w:p w14:paraId="64D5D553" w14:textId="03DE5AD0" w:rsidR="00DD2E54" w:rsidRPr="00214EA3" w:rsidRDefault="0075365F">
      <w:pPr>
        <w:spacing w:after="80" w:line="240" w:lineRule="auto"/>
        <w:jc w:val="center"/>
        <w:rPr>
          <w:rFonts w:ascii="Times New Roman Bold" w:eastAsia="Times New Roman" w:hAnsi="Times New Roman Bold" w:cs="Times New Roman"/>
          <w:color w:val="000000" w:themeColor="text1"/>
          <w:spacing w:val="-6"/>
          <w:sz w:val="28"/>
          <w:szCs w:val="28"/>
        </w:rPr>
      </w:pPr>
      <w:r w:rsidRPr="00214EA3">
        <w:rPr>
          <w:rFonts w:ascii="Times New Roman Bold" w:eastAsia="Times New Roman" w:hAnsi="Times New Roman Bold" w:cs="Times New Roman"/>
          <w:b/>
          <w:bCs/>
          <w:color w:val="000000" w:themeColor="text1"/>
          <w:spacing w:val="-6"/>
          <w:sz w:val="28"/>
          <w:szCs w:val="28"/>
        </w:rPr>
        <w:t>Rà soát các chủ trương, đường lối của Đảng, văn bản quy phạm pháp luật, điều ước quốc tế có liên quan đến chính sách Luật Định danh và xác thực điện tử</w:t>
      </w:r>
    </w:p>
    <w:p w14:paraId="7A65C211" w14:textId="044E7F0F" w:rsidR="00DD2E54" w:rsidRPr="00214EA3" w:rsidRDefault="00A131CE">
      <w:pPr>
        <w:spacing w:after="80" w:line="240" w:lineRule="auto"/>
        <w:ind w:firstLine="720"/>
        <w:jc w:val="both"/>
        <w:rPr>
          <w:rFonts w:ascii="Times New Roman" w:eastAsia="Times New Roman" w:hAnsi="Times New Roman" w:cs="Times New Roman"/>
          <w:color w:val="000000" w:themeColor="text1"/>
          <w:sz w:val="28"/>
          <w:szCs w:val="28"/>
        </w:rPr>
      </w:pPr>
      <w:r w:rsidRPr="00214EA3">
        <w:rPr>
          <w:noProof/>
          <w:color w:val="000000" w:themeColor="text1"/>
          <w:lang w:val="en-US"/>
        </w:rPr>
        <mc:AlternateContent>
          <mc:Choice Requires="wps">
            <w:drawing>
              <wp:anchor distT="0" distB="0" distL="114300" distR="114300" simplePos="0" relativeHeight="251667456" behindDoc="0" locked="0" layoutInCell="1" allowOverlap="1" wp14:anchorId="66751ADC" wp14:editId="3B49C01B">
                <wp:simplePos x="0" y="0"/>
                <wp:positionH relativeFrom="margin">
                  <wp:posOffset>1734186</wp:posOffset>
                </wp:positionH>
                <wp:positionV relativeFrom="paragraph">
                  <wp:posOffset>0</wp:posOffset>
                </wp:positionV>
                <wp:extent cx="2499360" cy="0"/>
                <wp:effectExtent l="0" t="0" r="15240" b="12700"/>
                <wp:wrapNone/>
                <wp:docPr id="5" name="Straight Connector 5"/>
                <wp:cNvGraphicFramePr/>
                <a:graphic xmlns:a="http://schemas.openxmlformats.org/drawingml/2006/main">
                  <a:graphicData uri="http://schemas.microsoft.com/office/word/2010/wordprocessingShape">
                    <wps:wsp>
                      <wps:cNvCnPr/>
                      <wps:spPr>
                        <a:xfrm>
                          <a:off x="0" y="0"/>
                          <a:ext cx="249936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44BB7BB" id="Straight Connector 5" o:spid="_x0000_s1026" style="position:absolute;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36.55pt,0" to="333.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" strokecolor="black [3040]" strokeweight="1pt">
                <w10:wrap anchorx="margin"/>
              </v:line>
            </w:pict>
          </mc:Fallback>
        </mc:AlternateContent>
      </w:r>
      <w:r w:rsidR="00BB3193" w:rsidRPr="00214EA3">
        <w:rPr>
          <w:rFonts w:ascii="Times New Roman" w:eastAsia="Times New Roman" w:hAnsi="Times New Roman" w:cs="Times New Roman"/>
          <w:noProof/>
          <w:color w:val="000000" w:themeColor="text1"/>
          <w:sz w:val="28"/>
          <w:szCs w:val="28"/>
          <w:lang w:val="en-US"/>
        </w:rPr>
        <mc:AlternateContent>
          <mc:Choice Requires="wps">
            <w:drawing>
              <wp:anchor distT="0" distB="0" distL="114300" distR="114300" simplePos="0" relativeHeight="251662336" behindDoc="0" locked="0" layoutInCell="1" allowOverlap="1" wp14:anchorId="5716297E" wp14:editId="7E214D5A">
                <wp:simplePos x="0" y="0"/>
                <wp:positionH relativeFrom="column">
                  <wp:posOffset>-4148455</wp:posOffset>
                </wp:positionH>
                <wp:positionV relativeFrom="paragraph">
                  <wp:posOffset>171450</wp:posOffset>
                </wp:positionV>
                <wp:extent cx="2355574" cy="0"/>
                <wp:effectExtent l="0" t="0" r="6985" b="12700"/>
                <wp:wrapNone/>
                <wp:docPr id="2034817813" name="Straight Connector 8"/>
                <wp:cNvGraphicFramePr/>
                <a:graphic xmlns:a="http://schemas.openxmlformats.org/drawingml/2006/main">
                  <a:graphicData uri="http://schemas.microsoft.com/office/word/2010/wordprocessingShape">
                    <wps:wsp>
                      <wps:cNvCnPr/>
                      <wps:spPr>
                        <a:xfrm>
                          <a:off x="0" y="0"/>
                          <a:ext cx="23555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362B479"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26.65pt,13.5pt" to="-141.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" strokecolor="black [3040]"/>
            </w:pict>
          </mc:Fallback>
        </mc:AlternateContent>
      </w:r>
    </w:p>
    <w:p w14:paraId="2CD2FC1D"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Thực hiện quy định của Luật Ban hành văn bản quy phạm pháp luật năm 2025, Bộ Công an đã tiến hành rà soát các chủ trương, đường lối của Đảng, văn bản quy phạm pháp luật, điều ước quốc tế có liên quan đến chính sách Luật Định danh và xác thực điện tử. Kết quả rà soát như sau:</w:t>
      </w:r>
    </w:p>
    <w:p w14:paraId="351EBAA1"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b/>
          <w:bCs/>
          <w:color w:val="000000" w:themeColor="text1"/>
          <w:sz w:val="28"/>
          <w:szCs w:val="28"/>
        </w:rPr>
        <w:t>I. TỔ CHỨC THỰC HIỆN RÀ SOÁT</w:t>
      </w:r>
    </w:p>
    <w:p w14:paraId="76EA8103"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b/>
          <w:bCs/>
          <w:color w:val="000000" w:themeColor="text1"/>
          <w:sz w:val="28"/>
          <w:szCs w:val="28"/>
        </w:rPr>
        <w:t>1. Mục đích, yêu cầu rà soát</w:t>
      </w:r>
    </w:p>
    <w:p w14:paraId="1D6437B8"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i/>
          <w:iCs/>
          <w:color w:val="000000" w:themeColor="text1"/>
          <w:sz w:val="28"/>
          <w:szCs w:val="28"/>
        </w:rPr>
        <w:t>1.1. Mục đích</w:t>
      </w:r>
    </w:p>
    <w:p w14:paraId="28BA496A"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Việc xem xét, đối chiếu, đánh giá các chủ trương, đường lối của Đảng, văn bản quy phạm pháp luật, điều ước quốc tế có liên quan với các chính sách Luật Định danh và xác thực điện tử bảo đảm việc thực hiện chủ trương, đường lối của Đảng; bảo đảm tính hợp hiến, hợp pháp, khả thi và thống nhất, đồng bộ trong hệ thống pháp luật; gắn với việc xác định rõ thứ bậc hiệu lực pháp lý của hệ thống văn bản quy phạm pháp luật; bảo đảm tương thích với các điều ước quốc tế mà Việt Nam là thành viên; đồng thời phát hiện, xử lý hoặc kiến nghị xử lý các quy định mâu thuẫn, chồng chéo, hết hiệu lực hoặc không còn phù hợp.</w:t>
      </w:r>
    </w:p>
    <w:p w14:paraId="0D9F2A7F"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Đánh giá tổng thể hệ thống pháp luật từ đó đề xuất, xây dựng nội dung chính sách Luật Định danh và xác thực điện tử minh bạch, rõ ràng, dễ tiếp cận và dễ áp dụng, tạo thuận lợi cho phát triển kinh tế - xã hội, bảo vệ quyền, lợi ích của tổ chức, cá nhân, nâng cao hiệu lực quản lý nhà nước.</w:t>
      </w:r>
    </w:p>
    <w:p w14:paraId="2E2E0C73"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i/>
          <w:iCs/>
          <w:color w:val="000000" w:themeColor="text1"/>
          <w:sz w:val="28"/>
          <w:szCs w:val="28"/>
        </w:rPr>
        <w:t>1.2. Yêu cầu</w:t>
      </w:r>
    </w:p>
    <w:p w14:paraId="37A0681A"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Việc rà soát phải được thực hiện một cách toàn diện, khách quan, kỹ lưỡng và có hệ thống đối với các chủ trương, đường lối của Đảng, quy định của pháp luật, điều ước quốc tế có liên quan.</w:t>
      </w:r>
    </w:p>
    <w:p w14:paraId="1FC67C7F"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Nghiên cứu, kế thừa các quy định đang phát huy hiệu quả tích cực trong phát triển lĩnh vực định danh và xác thực điện tử; nghiên cứu, tiếp thu có chọn lọc các quy định pháp luật có liên quan, điều chỉnh các quy định không còn phù hợp, là rào cản cho sự phát triển lĩnh vực định danh và xác thực điện tử, bảo đảm tính khả thi của các quy định pháp luật về định danh và xác thực điện tử.</w:t>
      </w:r>
    </w:p>
    <w:p w14:paraId="1CA2DFD1"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Kết quả rà soát phải được tổng hợp đầy đủ, rõ ràng, có phân tích, đánh giá đối với từng chính sách, phục vụ cho việc xây dựng Luật Định danh và xác thực điện tử, theo quy định của Luật Ban hành văn bản quy phạm pháp luật năm 2025.</w:t>
      </w:r>
    </w:p>
    <w:p w14:paraId="2F7119F0"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b/>
          <w:bCs/>
          <w:color w:val="000000" w:themeColor="text1"/>
          <w:sz w:val="28"/>
          <w:szCs w:val="28"/>
        </w:rPr>
        <w:lastRenderedPageBreak/>
        <w:t>2. Phạm vi, nội dung, đối tượng rà soát</w:t>
      </w:r>
    </w:p>
    <w:p w14:paraId="20FCCAD4" w14:textId="77777777" w:rsidR="00DD2E54" w:rsidRPr="00214EA3" w:rsidRDefault="0075365F" w:rsidP="00BF781D">
      <w:pPr>
        <w:spacing w:before="120" w:after="120" w:line="240" w:lineRule="auto"/>
        <w:ind w:firstLine="720"/>
        <w:jc w:val="both"/>
        <w:rPr>
          <w:color w:val="000000" w:themeColor="text1"/>
        </w:rPr>
      </w:pPr>
      <w:r w:rsidRPr="00214EA3">
        <w:rPr>
          <w:rFonts w:ascii="Times New Roman" w:eastAsia="Times New Roman" w:hAnsi="Times New Roman" w:cs="Times New Roman"/>
          <w:i/>
          <w:iCs/>
          <w:color w:val="000000" w:themeColor="text1"/>
          <w:sz w:val="28"/>
          <w:szCs w:val="28"/>
        </w:rPr>
        <w:t>2.1. Phạm vi</w:t>
      </w:r>
    </w:p>
    <w:p w14:paraId="1CFDFB2A" w14:textId="1A303FEA"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Rà soát toàn diện các nội dung có liên quan đến 03 chính sách của Dự thảo Luật Định danh và xác thực điện tử theo Báo cáo đánh giá tác động chính sách của Bộ Công an.</w:t>
      </w:r>
    </w:p>
    <w:p w14:paraId="56992D0F"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i/>
          <w:iCs/>
          <w:color w:val="000000" w:themeColor="text1"/>
          <w:sz w:val="28"/>
          <w:szCs w:val="28"/>
        </w:rPr>
      </w:pPr>
      <w:r w:rsidRPr="00214EA3">
        <w:rPr>
          <w:rFonts w:ascii="Times New Roman" w:eastAsia="Times New Roman" w:hAnsi="Times New Roman" w:cs="Times New Roman"/>
          <w:i/>
          <w:iCs/>
          <w:color w:val="000000" w:themeColor="text1"/>
          <w:sz w:val="28"/>
          <w:szCs w:val="28"/>
        </w:rPr>
        <w:t>2.2. Nội dung</w:t>
      </w:r>
    </w:p>
    <w:p w14:paraId="4D627822"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Đánh giá sự phù hợp với đường lối, chính sách của Đảng.</w:t>
      </w:r>
    </w:p>
    <w:p w14:paraId="55A78877"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pacing w:val="-6"/>
          <w:sz w:val="28"/>
          <w:szCs w:val="28"/>
        </w:rPr>
      </w:pPr>
      <w:r w:rsidRPr="00214EA3">
        <w:rPr>
          <w:rFonts w:ascii="Times New Roman" w:eastAsia="Times New Roman" w:hAnsi="Times New Roman" w:cs="Times New Roman"/>
          <w:color w:val="000000" w:themeColor="text1"/>
          <w:spacing w:val="-6"/>
          <w:sz w:val="28"/>
          <w:szCs w:val="28"/>
        </w:rPr>
        <w:t>- Đánh giá tính hợp hiến, hợp pháp, thống nhất, đồng bộ của hệ thống pháp luật.</w:t>
      </w:r>
    </w:p>
    <w:p w14:paraId="172B2E73"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Đánh giá tính tương thích với điều ước quốc tế.</w:t>
      </w:r>
    </w:p>
    <w:p w14:paraId="6EA1B6DC"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i/>
          <w:iCs/>
          <w:color w:val="000000" w:themeColor="text1"/>
          <w:sz w:val="28"/>
          <w:szCs w:val="28"/>
        </w:rPr>
        <w:t>2.3. Đối tượng rà soát</w:t>
      </w:r>
    </w:p>
    <w:p w14:paraId="4CF101E5"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Các chủ trương, đường lối của Đảng và văn bản chỉ đạo điều hành của Chính phủ giao việc xây dựng Luật.</w:t>
      </w:r>
    </w:p>
    <w:p w14:paraId="54E27E4A"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Các văn bản quy phạm pháp luật (Hiến pháp, Bộ luật, Luật, Nghị quyết của Quốc hội, Nghị định của Chính phủ, Thông tư của Bộ trưởng).</w:t>
      </w:r>
    </w:p>
    <w:p w14:paraId="1013BD65"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Các điều ước quốc tế mà Việt Nam là thành viên có liên quan.</w:t>
      </w:r>
    </w:p>
    <w:p w14:paraId="20D11FEF" w14:textId="77777777" w:rsidR="00E04D4E" w:rsidRDefault="0075365F" w:rsidP="00BF781D">
      <w:pPr>
        <w:spacing w:before="120" w:after="120" w:line="240" w:lineRule="auto"/>
        <w:ind w:firstLine="720"/>
        <w:jc w:val="both"/>
        <w:rPr>
          <w:rFonts w:ascii="Times New Roman" w:eastAsia="Times New Roman" w:hAnsi="Times New Roman" w:cs="Times New Roman"/>
          <w:b/>
          <w:bCs/>
          <w:color w:val="000000" w:themeColor="text1"/>
          <w:sz w:val="28"/>
          <w:szCs w:val="28"/>
        </w:rPr>
      </w:pPr>
      <w:r w:rsidRPr="00214EA3">
        <w:rPr>
          <w:rFonts w:ascii="Times New Roman" w:eastAsia="Times New Roman" w:hAnsi="Times New Roman" w:cs="Times New Roman"/>
          <w:b/>
          <w:bCs/>
          <w:color w:val="000000" w:themeColor="text1"/>
          <w:sz w:val="28"/>
          <w:szCs w:val="28"/>
        </w:rPr>
        <w:t>3. Cách thức, hình thức và phương pháp tổ chức rà soát</w:t>
      </w:r>
    </w:p>
    <w:p w14:paraId="74E294ED" w14:textId="791474C8" w:rsidR="001D4C6F" w:rsidRPr="00214EA3" w:rsidRDefault="001D4C6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Về phạm vi thời gian, việc rà soát được thực hiện đối với các chủ trương, đường lối của Đảng, các văn bản quy phạm pháp luật và điều ước quốc tế có liên quan còn hiệu lực tại thời điểm lập hồ sơ đề nghị xây dựng Luật.</w:t>
      </w:r>
    </w:p>
    <w:p w14:paraId="24D72D9F" w14:textId="4C9586D8" w:rsidR="001D4C6F" w:rsidRPr="00214EA3" w:rsidRDefault="001D4C6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i/>
          <w:iCs/>
          <w:color w:val="000000" w:themeColor="text1"/>
          <w:sz w:val="28"/>
          <w:szCs w:val="28"/>
        </w:rPr>
        <w:t>Về hình thức rà soát</w:t>
      </w:r>
      <w:r w:rsidRPr="00214EA3">
        <w:rPr>
          <w:rFonts w:ascii="Times New Roman" w:eastAsia="Times New Roman" w:hAnsi="Times New Roman" w:cs="Times New Roman"/>
          <w:color w:val="000000" w:themeColor="text1"/>
          <w:sz w:val="28"/>
          <w:szCs w:val="28"/>
        </w:rPr>
        <w:t>, cơ quan chủ trì soạn thảo thực hiện rà soát theo từng nhóm chính sách của dự án Luật, đồng thời rà soát các chủ trương, đường lối của Đảng, văn bản quy phạm pháp luật và điều ước quốc tế có liên quan đến từng chính sách.</w:t>
      </w:r>
    </w:p>
    <w:p w14:paraId="452AB54C" w14:textId="40036438" w:rsidR="001D4C6F" w:rsidRPr="00214EA3" w:rsidRDefault="001D4C6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i/>
          <w:iCs/>
          <w:color w:val="000000" w:themeColor="text1"/>
          <w:sz w:val="28"/>
          <w:szCs w:val="28"/>
        </w:rPr>
        <w:t>Về phương pháp rà soát,</w:t>
      </w:r>
      <w:r w:rsidRPr="00214EA3">
        <w:rPr>
          <w:rFonts w:ascii="Times New Roman" w:eastAsia="Times New Roman" w:hAnsi="Times New Roman" w:cs="Times New Roman"/>
          <w:color w:val="000000" w:themeColor="text1"/>
          <w:sz w:val="28"/>
          <w:szCs w:val="28"/>
        </w:rPr>
        <w:t xml:space="preserve"> cơ quan chủ trì soạn thảo tiến hành tập hợp, hệ thống hóa các văn bản có liên quan; đối chiếu, phân tích và đánh giá mức độ phù hợp của từng chính sách với chủ trương, đường lối của Đảng, quy định của Hiến pháp, các văn bản quy phạm pháp luật hiện hành và các điều ước quốc tế mà Việt Nam là thành viên nhằm đánh giá tính hợp hiến, hợp pháp, tính thống nhất, đồng bộ của hệ thống pháp luật và tính tương thích với các cam kết quốc tế.</w:t>
      </w:r>
    </w:p>
    <w:p w14:paraId="69CBF5AE" w14:textId="127A0D4A" w:rsidR="001D4C6F" w:rsidRPr="00214EA3" w:rsidRDefault="001D4C6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Kết quả rà soát là căn cứ để xác định những nội dung đã được pháp luật điều chỉnh, những nội dung còn khoảng trống pháp lý hoặc chưa bảo đảm tính thống nhất, đồng bộ, làm cơ sở xây dựng các chính sách và các nội dung đánh giá tại Phần II của Báo cáo.</w:t>
      </w:r>
    </w:p>
    <w:p w14:paraId="79533742"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b/>
          <w:bCs/>
          <w:color w:val="000000" w:themeColor="text1"/>
          <w:sz w:val="28"/>
          <w:szCs w:val="28"/>
        </w:rPr>
        <w:t>II. KẾT QUẢ RÀ SOÁT</w:t>
      </w:r>
    </w:p>
    <w:p w14:paraId="087BCA94"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b/>
          <w:bCs/>
          <w:color w:val="000000" w:themeColor="text1"/>
          <w:sz w:val="28"/>
          <w:szCs w:val="28"/>
        </w:rPr>
        <w:t>1. Chủ trương, đường lối của Đảng liên quan đến chính sách</w:t>
      </w:r>
    </w:p>
    <w:p w14:paraId="10173CF3" w14:textId="2EECC757" w:rsidR="00DD2E54" w:rsidRPr="00214EA3" w:rsidRDefault="0075365F" w:rsidP="00BF781D">
      <w:pPr>
        <w:spacing w:before="120" w:after="120" w:line="240" w:lineRule="auto"/>
        <w:ind w:firstLine="720"/>
        <w:jc w:val="both"/>
        <w:rPr>
          <w:rFonts w:ascii="Times New Roman Italic" w:eastAsia="Times New Roman" w:hAnsi="Times New Roman Italic" w:cs="Times New Roman"/>
          <w:i/>
          <w:iCs/>
          <w:color w:val="000000" w:themeColor="text1"/>
          <w:spacing w:val="-2"/>
          <w:sz w:val="28"/>
          <w:szCs w:val="28"/>
        </w:rPr>
      </w:pPr>
      <w:r w:rsidRPr="00214EA3">
        <w:rPr>
          <w:rFonts w:ascii="Times New Roman Italic" w:eastAsia="Times New Roman" w:hAnsi="Times New Roman Italic" w:cs="Times New Roman"/>
          <w:i/>
          <w:iCs/>
          <w:color w:val="000000" w:themeColor="text1"/>
          <w:spacing w:val="-2"/>
          <w:sz w:val="28"/>
          <w:szCs w:val="28"/>
        </w:rPr>
        <w:t xml:space="preserve">1.1. Tổng số văn bản của Đảng có chủ trương, đường lối liên quan đến chính sách và văn bản giao việc của Chính phủ đã được rà soát: </w:t>
      </w:r>
      <w:r w:rsidR="00FA2260" w:rsidRPr="00214EA3">
        <w:rPr>
          <w:rFonts w:ascii="Times New Roman Italic" w:eastAsia="Times New Roman" w:hAnsi="Times New Roman Italic" w:cs="Times New Roman"/>
          <w:i/>
          <w:iCs/>
          <w:color w:val="000000" w:themeColor="text1"/>
          <w:spacing w:val="-2"/>
          <w:sz w:val="28"/>
          <w:szCs w:val="28"/>
        </w:rPr>
        <w:t>13</w:t>
      </w:r>
      <w:r w:rsidRPr="00214EA3">
        <w:rPr>
          <w:rFonts w:ascii="Times New Roman Italic" w:eastAsia="Times New Roman" w:hAnsi="Times New Roman Italic" w:cs="Times New Roman"/>
          <w:i/>
          <w:iCs/>
          <w:color w:val="000000" w:themeColor="text1"/>
          <w:spacing w:val="-2"/>
          <w:sz w:val="28"/>
          <w:szCs w:val="28"/>
        </w:rPr>
        <w:t xml:space="preserve"> văn bản, bao gồm:</w:t>
      </w:r>
    </w:p>
    <w:p w14:paraId="6689FE0E" w14:textId="77777777" w:rsidR="00DD2E54" w:rsidRPr="00214EA3" w:rsidRDefault="0075365F" w:rsidP="00BB2C83">
      <w:pPr>
        <w:spacing w:before="140" w:after="14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lastRenderedPageBreak/>
        <w:t xml:space="preserve">- Văn kiện Đại hội đại biểu toàn quốc lần thứ XIV của Đảng (tháng 01/2026) xác định 03 đột phá chiến lược, trong đó có </w:t>
      </w:r>
      <w:r w:rsidRPr="00214EA3">
        <w:rPr>
          <w:rFonts w:ascii="Times New Roman" w:eastAsia="Times New Roman" w:hAnsi="Times New Roman" w:cs="Times New Roman"/>
          <w:i/>
          <w:iCs/>
          <w:color w:val="000000" w:themeColor="text1"/>
          <w:sz w:val="28"/>
          <w:szCs w:val="28"/>
        </w:rPr>
        <w:t>“đột phá về xây dựng hệ thống kết cấu hạ tầng đồng bộ, hiện đại, đặc biệt là hạ tầng giao thông chiến lược, năng lượng và hạ tầng số, hạ tầng dữ liệu”</w:t>
      </w:r>
      <w:r w:rsidRPr="00214EA3">
        <w:rPr>
          <w:rFonts w:ascii="Times New Roman" w:eastAsia="Times New Roman" w:hAnsi="Times New Roman" w:cs="Times New Roman"/>
          <w:color w:val="000000" w:themeColor="text1"/>
          <w:sz w:val="28"/>
          <w:szCs w:val="28"/>
        </w:rPr>
        <w:t xml:space="preserve">; coi </w:t>
      </w:r>
      <w:r w:rsidRPr="00214EA3">
        <w:rPr>
          <w:rFonts w:ascii="Times New Roman" w:eastAsia="Times New Roman" w:hAnsi="Times New Roman" w:cs="Times New Roman"/>
          <w:i/>
          <w:iCs/>
          <w:color w:val="000000" w:themeColor="text1"/>
          <w:sz w:val="28"/>
          <w:szCs w:val="28"/>
        </w:rPr>
        <w:t>“khoa học, công nghệ, đổi mới sáng tạo và chuyển đổi số làm động lực trung tâm”</w:t>
      </w:r>
      <w:r w:rsidRPr="00214EA3">
        <w:rPr>
          <w:rFonts w:ascii="Times New Roman" w:eastAsia="Times New Roman" w:hAnsi="Times New Roman" w:cs="Times New Roman"/>
          <w:color w:val="000000" w:themeColor="text1"/>
          <w:sz w:val="28"/>
          <w:szCs w:val="28"/>
        </w:rPr>
        <w:t xml:space="preserve">; chuyển từ </w:t>
      </w:r>
      <w:r w:rsidRPr="00214EA3">
        <w:rPr>
          <w:rFonts w:ascii="Times New Roman" w:eastAsia="Times New Roman" w:hAnsi="Times New Roman" w:cs="Times New Roman"/>
          <w:i/>
          <w:iCs/>
          <w:color w:val="000000" w:themeColor="text1"/>
          <w:sz w:val="28"/>
          <w:szCs w:val="28"/>
        </w:rPr>
        <w:t>“quản lý bằng mệnh lệnh hành chính” sang “quản trị phát triển dựa trên pháp luật và dữ liệu”</w:t>
      </w:r>
      <w:r w:rsidRPr="00214EA3">
        <w:rPr>
          <w:rFonts w:ascii="Times New Roman" w:eastAsia="Times New Roman" w:hAnsi="Times New Roman" w:cs="Times New Roman"/>
          <w:color w:val="000000" w:themeColor="text1"/>
          <w:sz w:val="28"/>
          <w:szCs w:val="28"/>
        </w:rPr>
        <w:t>; coi dữ liệu và phản hồi của Nhân dân là căn cứ điều chỉnh chính sách.</w:t>
      </w:r>
    </w:p>
    <w:p w14:paraId="56E45FBD" w14:textId="77777777" w:rsidR="00DD2E54" w:rsidRPr="00214EA3" w:rsidRDefault="0075365F" w:rsidP="00BB2C83">
      <w:pPr>
        <w:spacing w:before="140" w:after="140" w:line="240" w:lineRule="auto"/>
        <w:ind w:firstLine="720"/>
        <w:jc w:val="both"/>
        <w:rPr>
          <w:rFonts w:ascii="Times New Roman" w:eastAsia="Times New Roman" w:hAnsi="Times New Roman" w:cs="Times New Roman"/>
          <w:color w:val="000000" w:themeColor="text1"/>
          <w:spacing w:val="-4"/>
          <w:sz w:val="28"/>
          <w:szCs w:val="28"/>
        </w:rPr>
      </w:pPr>
      <w:r w:rsidRPr="00214EA3">
        <w:rPr>
          <w:rFonts w:ascii="Times New Roman" w:eastAsia="Times New Roman" w:hAnsi="Times New Roman" w:cs="Times New Roman"/>
          <w:color w:val="000000" w:themeColor="text1"/>
          <w:spacing w:val="-4"/>
          <w:sz w:val="28"/>
          <w:szCs w:val="28"/>
        </w:rPr>
        <w:t>- Văn kiện Đại hội đại biểu toàn quốc lần thứ XIII của Đảng xác định nhiệm vụ đẩy mạnh chuyển đổi số quốc gia; phát triển kinh tế số, xã hội số; xây dựng Chính phủ số; phát triển hạ tầng số, dữ liệu số là tài nguyên quan trọng của quốc gia.</w:t>
      </w:r>
    </w:p>
    <w:p w14:paraId="1239AAC8" w14:textId="6160E602" w:rsidR="00DD2E54" w:rsidRPr="00214EA3" w:rsidRDefault="0075365F" w:rsidP="00BB2C83">
      <w:pPr>
        <w:spacing w:before="140" w:after="14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xml:space="preserve">- Nghị quyết số 57-NQ/TW ngày 22/12/2024 của Bộ Chính trị về đột phá phát triển khoa học, công nghệ, đổi mới sáng tạo và chuyển đổi số quốc gia yêu cầu: </w:t>
      </w:r>
      <w:r w:rsidR="0095211D" w:rsidRPr="00214EA3">
        <w:rPr>
          <w:rFonts w:ascii="Times New Roman" w:eastAsia="Times New Roman" w:hAnsi="Times New Roman" w:cs="Times New Roman"/>
          <w:i/>
          <w:iCs/>
          <w:color w:val="000000" w:themeColor="text1"/>
          <w:sz w:val="28"/>
          <w:szCs w:val="28"/>
        </w:rPr>
        <w:t>“</w:t>
      </w:r>
      <w:r w:rsidRPr="00214EA3">
        <w:rPr>
          <w:rFonts w:ascii="Times New Roman" w:eastAsia="Times New Roman" w:hAnsi="Times New Roman" w:cs="Times New Roman"/>
          <w:i/>
          <w:iCs/>
          <w:color w:val="000000" w:themeColor="text1"/>
          <w:sz w:val="28"/>
          <w:szCs w:val="28"/>
        </w:rPr>
        <w:t>Đẩy mạnh chuyển đổi số, ứng dụng khoa học, công nghệ, đổi mới sáng tạo trong hoạt động của các cơ quan trong hệ thống chính trị; nâng cao hiệu quả quản trị quốc gia, hiệu lực quản lý nhà nước trên các lĩnh vực, bảo đảm quốc phòng và an ninh</w:t>
      </w:r>
      <w:r w:rsidR="0095211D" w:rsidRPr="00214EA3">
        <w:rPr>
          <w:rFonts w:ascii="Times New Roman" w:eastAsia="Times New Roman" w:hAnsi="Times New Roman" w:cs="Times New Roman"/>
          <w:i/>
          <w:iCs/>
          <w:color w:val="000000" w:themeColor="text1"/>
          <w:sz w:val="28"/>
          <w:szCs w:val="28"/>
        </w:rPr>
        <w:t>”</w:t>
      </w:r>
      <w:r w:rsidRPr="00214EA3">
        <w:rPr>
          <w:rFonts w:ascii="Times New Roman" w:eastAsia="Times New Roman" w:hAnsi="Times New Roman" w:cs="Times New Roman"/>
          <w:color w:val="000000" w:themeColor="text1"/>
          <w:sz w:val="28"/>
          <w:szCs w:val="28"/>
        </w:rPr>
        <w:t>.</w:t>
      </w:r>
    </w:p>
    <w:p w14:paraId="49597B52" w14:textId="77777777" w:rsidR="00DD2E54" w:rsidRPr="00214EA3" w:rsidRDefault="0075365F" w:rsidP="00BB2C83">
      <w:pPr>
        <w:spacing w:before="140" w:after="14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xml:space="preserve">- Nghị quyết số 52-NQ/TW ngày 27/9/2019 của Bộ Chính trị về một số chủ trương, chính sách chủ động tham gia cuộc Cách mạng công nghiệp lần thứ tư xác định yêu cầu: </w:t>
      </w:r>
      <w:r w:rsidRPr="00214EA3">
        <w:rPr>
          <w:rFonts w:ascii="Times New Roman" w:eastAsia="Times New Roman" w:hAnsi="Times New Roman" w:cs="Times New Roman"/>
          <w:i/>
          <w:iCs/>
          <w:color w:val="000000" w:themeColor="text1"/>
          <w:sz w:val="28"/>
          <w:szCs w:val="28"/>
        </w:rPr>
        <w:t>“Hoàn thiện khung pháp lý về giao dịch điện tử, xác thực điện tử, bảo vệ dữ liệu cá nhân”</w:t>
      </w:r>
      <w:r w:rsidRPr="00214EA3">
        <w:rPr>
          <w:rFonts w:ascii="Times New Roman" w:eastAsia="Times New Roman" w:hAnsi="Times New Roman" w:cs="Times New Roman"/>
          <w:color w:val="000000" w:themeColor="text1"/>
          <w:sz w:val="28"/>
          <w:szCs w:val="28"/>
        </w:rPr>
        <w:t>.</w:t>
      </w:r>
    </w:p>
    <w:p w14:paraId="08DCC944" w14:textId="77777777" w:rsidR="00DD2E54" w:rsidRPr="00214EA3" w:rsidRDefault="0075365F" w:rsidP="00BB2C83">
      <w:pPr>
        <w:spacing w:before="140" w:after="14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xml:space="preserve">- Nghị quyết số 27-NQ/TW ngày 09/11/2022 của Ban Chấp hành Trung ương về tiếp tục xây dựng và hoàn thiện Nhà nước pháp quyền xã hội chủ nghĩa Việt Nam xác định nhiệm vụ </w:t>
      </w:r>
      <w:r w:rsidRPr="00214EA3">
        <w:rPr>
          <w:rFonts w:ascii="Times New Roman" w:eastAsia="Times New Roman" w:hAnsi="Times New Roman" w:cs="Times New Roman"/>
          <w:i/>
          <w:iCs/>
          <w:color w:val="000000" w:themeColor="text1"/>
          <w:sz w:val="28"/>
          <w:szCs w:val="28"/>
        </w:rPr>
        <w:t>“cần tiếp tục hoàn thiện hệ thống pháp luật và cơ chế tổ chức thực hiện pháp luật nghiêm minh, hiệu quả, bảo đảm yêu cầu phát triển đất nước nhanh và bền vững”</w:t>
      </w:r>
      <w:r w:rsidRPr="00214EA3">
        <w:rPr>
          <w:rFonts w:ascii="Times New Roman" w:eastAsia="Times New Roman" w:hAnsi="Times New Roman" w:cs="Times New Roman"/>
          <w:color w:val="000000" w:themeColor="text1"/>
          <w:sz w:val="28"/>
          <w:szCs w:val="28"/>
        </w:rPr>
        <w:t>.</w:t>
      </w:r>
    </w:p>
    <w:p w14:paraId="1921EC54" w14:textId="77777777" w:rsidR="00DD2E54" w:rsidRPr="00214EA3" w:rsidRDefault="0075365F" w:rsidP="00BB2C83">
      <w:pPr>
        <w:spacing w:before="140" w:after="14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Nghị quyết số 66-NQ/TW ngày 30/4/2024 của Bộ Chính trị về đổi mới công tác xây dựng và thi hành pháp luật, yêu cầu thể chế hóa đầy đủ, kịp thời chủ trương của Đảng; quy định pháp luật ổn định, đơn giản, dễ thực hiện; lấy người dân, doanh nghiệp làm trung tâm.</w:t>
      </w:r>
    </w:p>
    <w:p w14:paraId="457415F3" w14:textId="77777777" w:rsidR="00DD2E54" w:rsidRPr="00214EA3" w:rsidRDefault="0075365F" w:rsidP="00BB2C83">
      <w:pPr>
        <w:spacing w:before="140" w:after="140" w:line="240" w:lineRule="auto"/>
        <w:ind w:firstLine="720"/>
        <w:jc w:val="both"/>
        <w:rPr>
          <w:rFonts w:ascii="Times New Roman" w:eastAsia="Times New Roman" w:hAnsi="Times New Roman" w:cs="Times New Roman"/>
          <w:color w:val="000000" w:themeColor="text1"/>
          <w:spacing w:val="2"/>
          <w:sz w:val="28"/>
          <w:szCs w:val="28"/>
        </w:rPr>
      </w:pPr>
      <w:r w:rsidRPr="00214EA3">
        <w:rPr>
          <w:rFonts w:ascii="Times New Roman" w:eastAsia="Times New Roman" w:hAnsi="Times New Roman" w:cs="Times New Roman"/>
          <w:color w:val="000000" w:themeColor="text1"/>
          <w:spacing w:val="2"/>
          <w:sz w:val="28"/>
          <w:szCs w:val="28"/>
        </w:rPr>
        <w:t>- Nghị quyết số 30-NQ/TW ngày 25/7/2018 của Bộ Chính trị về Chiến lược An ninh mạng quốc gia, khẳng định việc xây dựng hệ thống định danh và xác thực điện tử quốc gia phục vụ các hoạt động của xã hội trên môi trường mạng an toàn, tin cậy.</w:t>
      </w:r>
    </w:p>
    <w:p w14:paraId="7287242C" w14:textId="04A68F2D" w:rsidR="00282DF7" w:rsidRPr="00214EA3" w:rsidRDefault="00282DF7" w:rsidP="00BB2C83">
      <w:pPr>
        <w:spacing w:before="140" w:after="14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Kết luận số 195-KL/TW ngày 26/9/2025 của Bộ Chính trị, Ban Bí thư về tình hình, kết quả hoạt động của bộ máy hệ thống chính trị và chính quyền địa phương hai cấp đặt ra yêu cầu bảo đảm phù hợp với định hướng tổ chức, vận hành bộ máy chính quyền địa phương hai cấp; phân định rõ trách nhiệm, cơ chế phối hợp giữa các cơ quan trung ương và địa phương trong quản lý, triển khai hoạt động định danh, xác thực điện tử, kết nối, chia sẻ, khai thác dữ liệu và cung cấp dịch vụ công trên môi trường điện tử.</w:t>
      </w:r>
    </w:p>
    <w:p w14:paraId="117AF767" w14:textId="7DDA0001" w:rsidR="00DD2E54" w:rsidRPr="00214EA3" w:rsidRDefault="0075365F" w:rsidP="00BB2C83">
      <w:pPr>
        <w:spacing w:before="140" w:after="140" w:line="240" w:lineRule="auto"/>
        <w:ind w:firstLine="720"/>
        <w:jc w:val="both"/>
        <w:rPr>
          <w:rFonts w:ascii="Times New Roman" w:eastAsia="Times New Roman" w:hAnsi="Times New Roman" w:cs="Times New Roman"/>
          <w:i/>
          <w:iCs/>
          <w:color w:val="000000" w:themeColor="text1"/>
          <w:sz w:val="28"/>
          <w:szCs w:val="28"/>
        </w:rPr>
      </w:pPr>
      <w:r w:rsidRPr="00214EA3">
        <w:rPr>
          <w:rFonts w:ascii="Times New Roman" w:eastAsia="Times New Roman" w:hAnsi="Times New Roman" w:cs="Times New Roman"/>
          <w:color w:val="000000" w:themeColor="text1"/>
          <w:sz w:val="28"/>
          <w:szCs w:val="28"/>
        </w:rPr>
        <w:lastRenderedPageBreak/>
        <w:t xml:space="preserve">- Chỉ thị số 57-CT/TW ngày 31/12/2025 của Ban Bí thư về tăng cường bảo đảm an ninh mạng, bảo mật thông tin, an ninh dữ liệu trong hệ thống chính trị yêu cầu </w:t>
      </w:r>
      <w:r w:rsidR="00BB3193" w:rsidRPr="00214EA3">
        <w:rPr>
          <w:rFonts w:ascii="Times New Roman" w:eastAsia="Times New Roman" w:hAnsi="Times New Roman" w:cs="Times New Roman"/>
          <w:i/>
          <w:iCs/>
          <w:color w:val="000000" w:themeColor="text1"/>
          <w:sz w:val="28"/>
          <w:szCs w:val="28"/>
        </w:rPr>
        <w:t>“</w:t>
      </w:r>
      <w:r w:rsidRPr="00214EA3">
        <w:rPr>
          <w:rFonts w:ascii="Times New Roman" w:eastAsia="Times New Roman" w:hAnsi="Times New Roman" w:cs="Times New Roman"/>
          <w:i/>
          <w:iCs/>
          <w:color w:val="000000" w:themeColor="text1"/>
          <w:sz w:val="28"/>
          <w:szCs w:val="28"/>
        </w:rPr>
        <w:t>Triển khai hệ thống định danh và xác thực không gian mạng quốc gia; thống nhất định danh công dân, người dùng mạng xã hội, thuê bao viễn thông và tài nguyên Internet (tên miền, địa chỉ IP…). Kiên quyết xử lý triệt để tình trạng SIM “rác”, tài khoản “ảo”, nặc danh; áp dụng biện pháp xác thực danh tính bắt buộc đối với người dùng mạng xã hội và cơ chế kiểm soát độ tuổi để bảo vệ trẻ em trên không gian mạng</w:t>
      </w:r>
      <w:r w:rsidR="00BB3193" w:rsidRPr="00214EA3">
        <w:rPr>
          <w:rFonts w:ascii="Times New Roman" w:eastAsia="Times New Roman" w:hAnsi="Times New Roman" w:cs="Times New Roman"/>
          <w:i/>
          <w:iCs/>
          <w:color w:val="000000" w:themeColor="text1"/>
          <w:sz w:val="28"/>
          <w:szCs w:val="28"/>
        </w:rPr>
        <w:t>”</w:t>
      </w:r>
      <w:r w:rsidRPr="00214EA3">
        <w:rPr>
          <w:rFonts w:ascii="Times New Roman" w:eastAsia="Times New Roman" w:hAnsi="Times New Roman" w:cs="Times New Roman"/>
          <w:i/>
          <w:iCs/>
          <w:color w:val="000000" w:themeColor="text1"/>
          <w:sz w:val="28"/>
          <w:szCs w:val="28"/>
        </w:rPr>
        <w:t>.</w:t>
      </w:r>
    </w:p>
    <w:p w14:paraId="645743D2" w14:textId="4B9E241B" w:rsidR="005644F9" w:rsidRPr="00214EA3" w:rsidRDefault="0075365F" w:rsidP="00BB2C83">
      <w:pPr>
        <w:spacing w:before="140" w:after="140" w:line="240" w:lineRule="auto"/>
        <w:ind w:firstLine="720"/>
        <w:jc w:val="both"/>
        <w:rPr>
          <w:rFonts w:ascii="Times New Roman" w:eastAsia="Times New Roman" w:hAnsi="Times New Roman" w:cs="Times New Roman"/>
          <w:i/>
          <w:iCs/>
          <w:color w:val="000000" w:themeColor="text1"/>
          <w:sz w:val="28"/>
          <w:szCs w:val="28"/>
        </w:rPr>
      </w:pPr>
      <w:r w:rsidRPr="00214EA3">
        <w:rPr>
          <w:rFonts w:ascii="Times New Roman" w:eastAsia="Times New Roman" w:hAnsi="Times New Roman" w:cs="Times New Roman"/>
          <w:color w:val="000000" w:themeColor="text1"/>
          <w:sz w:val="28"/>
          <w:szCs w:val="28"/>
        </w:rPr>
        <w:t>- Quyết định số 06/QĐ-TTg ngày 06/01/2022 của Thủ tướng Chính phủ phê duyệt Đề án phát triển ứng dụng dữ liệu về dân cư, định danh và xác thực điện tử phục vụ chuyển đổi số quốc gia giai đoạn 2022</w:t>
      </w:r>
      <w:r w:rsidR="00AF1B84" w:rsidRPr="00214EA3">
        <w:rPr>
          <w:rFonts w:ascii="Times New Roman" w:eastAsia="Times New Roman" w:hAnsi="Times New Roman" w:cs="Times New Roman"/>
          <w:color w:val="000000" w:themeColor="text1"/>
          <w:sz w:val="28"/>
          <w:szCs w:val="28"/>
        </w:rPr>
        <w:t>-</w:t>
      </w:r>
      <w:r w:rsidRPr="00214EA3">
        <w:rPr>
          <w:rFonts w:ascii="Times New Roman" w:eastAsia="Times New Roman" w:hAnsi="Times New Roman" w:cs="Times New Roman"/>
          <w:color w:val="000000" w:themeColor="text1"/>
          <w:sz w:val="28"/>
          <w:szCs w:val="28"/>
        </w:rPr>
        <w:t xml:space="preserve">2025, tầm nhìn đến năm 2030 đặt ra mục tiêu </w:t>
      </w:r>
      <w:r w:rsidRPr="00214EA3">
        <w:rPr>
          <w:rFonts w:ascii="Times New Roman" w:eastAsia="Times New Roman" w:hAnsi="Times New Roman" w:cs="Times New Roman"/>
          <w:i/>
          <w:iCs/>
          <w:color w:val="000000" w:themeColor="text1"/>
          <w:sz w:val="28"/>
          <w:szCs w:val="28"/>
        </w:rPr>
        <w:t>“Ứng dụng Cơ sở dữ liệu quốc gia về dân cư, hệ thống định danh và xác thực điện tử, thẻ Căn cước công dân gắn chip điện tử trong công cuộc chuyển đổi số quốc gia”</w:t>
      </w:r>
    </w:p>
    <w:p w14:paraId="6CF884BF" w14:textId="3F456598" w:rsidR="00DD2E54" w:rsidRPr="00214EA3" w:rsidRDefault="0075365F" w:rsidP="00BB2C83">
      <w:pPr>
        <w:spacing w:before="140" w:after="140" w:line="240" w:lineRule="auto"/>
        <w:ind w:firstLine="720"/>
        <w:jc w:val="both"/>
        <w:rPr>
          <w:rFonts w:ascii="Times New Roman" w:eastAsia="Times New Roman" w:hAnsi="Times New Roman" w:cs="Times New Roman"/>
          <w:i/>
          <w:iCs/>
          <w:color w:val="000000" w:themeColor="text1"/>
          <w:sz w:val="28"/>
          <w:szCs w:val="28"/>
        </w:rPr>
      </w:pPr>
      <w:r w:rsidRPr="00214EA3">
        <w:rPr>
          <w:rFonts w:ascii="Times New Roman" w:eastAsia="Times New Roman" w:hAnsi="Times New Roman" w:cs="Times New Roman"/>
          <w:i/>
          <w:iCs/>
          <w:color w:val="000000" w:themeColor="text1"/>
          <w:sz w:val="28"/>
          <w:szCs w:val="28"/>
        </w:rPr>
        <w:t xml:space="preserve">- </w:t>
      </w:r>
      <w:r w:rsidRPr="00214EA3">
        <w:rPr>
          <w:rFonts w:ascii="Times New Roman" w:eastAsia="Times New Roman" w:hAnsi="Times New Roman" w:cs="Times New Roman"/>
          <w:color w:val="000000" w:themeColor="text1"/>
          <w:sz w:val="28"/>
          <w:szCs w:val="28"/>
        </w:rPr>
        <w:t>Chương trình số 02-CTr/BCĐTW ngày 02/02/2026 của Ban Chỉ đạo Trung ương về phát triển khoa học, công nghệ, đổi mới sáng tạo và chuyển đổi số</w:t>
      </w:r>
      <w:r w:rsidRPr="00214EA3">
        <w:rPr>
          <w:rFonts w:ascii="Times New Roman" w:eastAsia="Times New Roman" w:hAnsi="Times New Roman" w:cs="Times New Roman"/>
          <w:i/>
          <w:iCs/>
          <w:color w:val="000000" w:themeColor="text1"/>
          <w:sz w:val="28"/>
          <w:szCs w:val="28"/>
        </w:rPr>
        <w:t xml:space="preserve"> </w:t>
      </w:r>
      <w:r w:rsidRPr="00214EA3">
        <w:rPr>
          <w:rFonts w:ascii="Times New Roman" w:eastAsia="Times New Roman" w:hAnsi="Times New Roman" w:cs="Times New Roman"/>
          <w:color w:val="000000" w:themeColor="text1"/>
          <w:sz w:val="28"/>
          <w:szCs w:val="28"/>
        </w:rPr>
        <w:t>giao trực tiếp Bộ Công an chủ trì “</w:t>
      </w:r>
      <w:r w:rsidRPr="00214EA3">
        <w:rPr>
          <w:rFonts w:ascii="Times New Roman" w:eastAsia="Times New Roman" w:hAnsi="Times New Roman" w:cs="Times New Roman"/>
          <w:i/>
          <w:iCs/>
          <w:color w:val="000000" w:themeColor="text1"/>
          <w:sz w:val="28"/>
          <w:szCs w:val="28"/>
        </w:rPr>
        <w:t>Nghiên cứu, lập đề nghị xây dựng Luật Định danh và xác thực điện tử, báo cáo Chính phủ để đề xuất Quốc hội xem xét, bổ sung vào Chương trình lập pháp năm 2026, hoàn thành trong quý I/2026”.</w:t>
      </w:r>
    </w:p>
    <w:p w14:paraId="5DD9737A" w14:textId="6F30FDB5" w:rsidR="001B0BE6" w:rsidRPr="00214EA3" w:rsidRDefault="001B0BE6" w:rsidP="00BB2C83">
      <w:pPr>
        <w:spacing w:before="140" w:after="14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xml:space="preserve">- Quyết định số 826/QĐ-TTg ngày 11/5/2026 của Thủ tướng Chính phủ: Về việc phê duyệt Chương trình Đề án phát triển ứng dụng dữ liệu về dân cư, định danh và xác thực điện tử phục vụ chuyển đổi số quốc gia giai đoạn 2026 - 2030, tầm nhìn đến năm 2035, trong đó có nhiệm vụ </w:t>
      </w:r>
      <w:r w:rsidRPr="00214EA3">
        <w:rPr>
          <w:rFonts w:ascii="Times New Roman" w:eastAsia="Times New Roman" w:hAnsi="Times New Roman" w:cs="Times New Roman"/>
          <w:i/>
          <w:iCs/>
          <w:color w:val="000000" w:themeColor="text1"/>
          <w:sz w:val="28"/>
          <w:szCs w:val="28"/>
        </w:rPr>
        <w:t xml:space="preserve">“Nghiên cứu triển khai xây dựng các nền tảng chuỗi khối quốc gia, định danh phi tập trung quốc gia, định danh, xác thực, truy xuất nguồn gốc sản phẩm, hàng hóa, hệ thống lưu trữ, giao kết, xác nhận giao dịch điện tử qua nền tảng VNeID, nền tảng số quốc gia về văn thư, lưu trữ” </w:t>
      </w:r>
      <w:r w:rsidRPr="00214EA3">
        <w:rPr>
          <w:rFonts w:ascii="Times New Roman" w:eastAsia="Times New Roman" w:hAnsi="Times New Roman" w:cs="Times New Roman"/>
          <w:color w:val="000000" w:themeColor="text1"/>
          <w:sz w:val="28"/>
          <w:szCs w:val="28"/>
        </w:rPr>
        <w:t xml:space="preserve">phục vụ mở rộng hạ tầng, hoàn thiện hệ sinh thái phục vụ tạo lập, kết nối, </w:t>
      </w:r>
      <w:r w:rsidR="00C61481">
        <w:rPr>
          <w:rFonts w:ascii="Times New Roman" w:eastAsia="Times New Roman" w:hAnsi="Times New Roman" w:cs="Times New Roman"/>
          <w:color w:val="000000" w:themeColor="text1"/>
          <w:sz w:val="28"/>
          <w:szCs w:val="28"/>
        </w:rPr>
        <w:t>kha</w:t>
      </w:r>
      <w:r w:rsidRPr="00214EA3">
        <w:rPr>
          <w:rFonts w:ascii="Times New Roman" w:eastAsia="Times New Roman" w:hAnsi="Times New Roman" w:cs="Times New Roman"/>
          <w:color w:val="000000" w:themeColor="text1"/>
          <w:sz w:val="28"/>
          <w:szCs w:val="28"/>
        </w:rPr>
        <w:t>i thác, bổ sung làm giàu dữ liệu.</w:t>
      </w:r>
    </w:p>
    <w:p w14:paraId="5F41A97D" w14:textId="6259796F" w:rsidR="0013430A" w:rsidRPr="00214EA3" w:rsidRDefault="00734A5F" w:rsidP="00BB2C83">
      <w:pPr>
        <w:spacing w:before="140" w:after="140" w:line="240" w:lineRule="auto"/>
        <w:ind w:firstLine="720"/>
        <w:jc w:val="both"/>
        <w:rPr>
          <w:rFonts w:ascii="Times New Roman" w:eastAsia="Times New Roman" w:hAnsi="Times New Roman" w:cs="Times New Roman"/>
          <w:i/>
          <w:iCs/>
          <w:color w:val="000000" w:themeColor="text1"/>
          <w:sz w:val="28"/>
          <w:szCs w:val="28"/>
        </w:rPr>
      </w:pPr>
      <w:r w:rsidRPr="00214EA3">
        <w:rPr>
          <w:rFonts w:ascii="Times New Roman" w:eastAsia="Times New Roman" w:hAnsi="Times New Roman" w:cs="Times New Roman"/>
          <w:color w:val="000000" w:themeColor="text1"/>
          <w:sz w:val="28"/>
          <w:szCs w:val="28"/>
        </w:rPr>
        <w:t>-</w:t>
      </w:r>
      <w:r w:rsidR="0013430A" w:rsidRPr="00214EA3">
        <w:rPr>
          <w:rFonts w:ascii="Times New Roman" w:eastAsia="Times New Roman" w:hAnsi="Times New Roman" w:cs="Times New Roman"/>
          <w:color w:val="000000" w:themeColor="text1"/>
          <w:sz w:val="28"/>
          <w:szCs w:val="28"/>
        </w:rPr>
        <w:t xml:space="preserve"> Quyết định số 940/QĐ-TTg ngày 26/5/2026 của Thủ tướng Chính phủ về việc phê duyệt Đề án “Phát triển ứng dụng định danh quốc gia VNeID giai đoạn 2026 - 2030, tầm nhìn đến năm 2045” giao Bộ Công an </w:t>
      </w:r>
      <w:r w:rsidR="0013430A" w:rsidRPr="00214EA3">
        <w:rPr>
          <w:rFonts w:ascii="Times New Roman" w:eastAsia="Times New Roman" w:hAnsi="Times New Roman" w:cs="Times New Roman"/>
          <w:i/>
          <w:iCs/>
          <w:color w:val="000000" w:themeColor="text1"/>
          <w:sz w:val="28"/>
          <w:szCs w:val="28"/>
        </w:rPr>
        <w:t xml:space="preserve">“Tham mưu Chính phủ trình Quốc hội xem xét, ban hành Luật Định danh và xác thực điện </w:t>
      </w:r>
      <w:r w:rsidR="00BB6447">
        <w:rPr>
          <w:rFonts w:ascii="Times New Roman" w:eastAsia="Times New Roman" w:hAnsi="Times New Roman" w:cs="Times New Roman"/>
          <w:i/>
          <w:iCs/>
          <w:color w:val="000000" w:themeColor="text1"/>
          <w:sz w:val="28"/>
          <w:szCs w:val="28"/>
        </w:rPr>
        <w:t>tử</w:t>
      </w:r>
      <w:r w:rsidR="0013430A" w:rsidRPr="00214EA3">
        <w:rPr>
          <w:rFonts w:ascii="Times New Roman" w:eastAsia="Times New Roman" w:hAnsi="Times New Roman" w:cs="Times New Roman"/>
          <w:i/>
          <w:iCs/>
          <w:color w:val="000000" w:themeColor="text1"/>
          <w:sz w:val="28"/>
          <w:szCs w:val="28"/>
        </w:rPr>
        <w:t xml:space="preserve"> trong năm 2026 và các văn bản hướng dẫn thi hành</w:t>
      </w:r>
      <w:r w:rsidRPr="00214EA3">
        <w:rPr>
          <w:rFonts w:ascii="Times New Roman" w:eastAsia="Times New Roman" w:hAnsi="Times New Roman" w:cs="Times New Roman"/>
          <w:i/>
          <w:iCs/>
          <w:color w:val="000000" w:themeColor="text1"/>
          <w:sz w:val="28"/>
          <w:szCs w:val="28"/>
        </w:rPr>
        <w:t>... nhằm xác định rõ phạm vi, giá trị pháp lý, điều kiện sử dụng, các quy chuẩn, tiêu chuẩn kỹ thuật có liên quan và trách nhiệm pháp lý của các chủ thể khi sử dụng VNeID trong các quan hệ hành chính, dân sự, thương mại và các giao dịch điện tử khác.”</w:t>
      </w:r>
    </w:p>
    <w:p w14:paraId="150996AA" w14:textId="77777777" w:rsidR="00DD2E54" w:rsidRPr="00214EA3" w:rsidRDefault="0075365F" w:rsidP="00BB2C83">
      <w:pPr>
        <w:spacing w:before="140" w:after="14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i/>
          <w:iCs/>
          <w:color w:val="000000" w:themeColor="text1"/>
          <w:sz w:val="28"/>
          <w:szCs w:val="28"/>
        </w:rPr>
        <w:t>1.2. Đánh giá về sự phù hợp của chính sách</w:t>
      </w:r>
    </w:p>
    <w:p w14:paraId="2BE5B43A" w14:textId="77777777" w:rsidR="00DD2E54" w:rsidRPr="00214EA3" w:rsidRDefault="0075365F" w:rsidP="00BB2C83">
      <w:pPr>
        <w:spacing w:before="140" w:after="14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Các chủ trương, đường lối và định hướng của Đảng nêu trên đặt ra sự cần thiết phải nghiên cứu ban hành Luật Định danh và xác thực điện tử theo hướng tiếp tục đẩy mạnh phân cấp, phân quyền, tạo hành lang pháp lý cho việc thực hiện chuyển đổi số, ứng dụng công nghệ, khắc phục kịp thời những vướng mắc, khó khăn do quy định pháp luật.</w:t>
      </w:r>
    </w:p>
    <w:p w14:paraId="263FDEF4" w14:textId="77777777" w:rsidR="00DD2E54" w:rsidRPr="00214EA3" w:rsidRDefault="0075365F" w:rsidP="00BB2C83">
      <w:pPr>
        <w:spacing w:before="100" w:after="10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b/>
          <w:bCs/>
          <w:color w:val="000000" w:themeColor="text1"/>
          <w:sz w:val="28"/>
          <w:szCs w:val="28"/>
        </w:rPr>
        <w:lastRenderedPageBreak/>
        <w:t>2. Văn bản quy phạm pháp luật có liên quan đến chính sách</w:t>
      </w:r>
    </w:p>
    <w:p w14:paraId="7B58EDDC" w14:textId="1100EB1F" w:rsidR="00DD2E54" w:rsidRPr="00214EA3" w:rsidRDefault="0075365F" w:rsidP="00BB2C83">
      <w:pPr>
        <w:spacing w:before="100" w:after="10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xml:space="preserve">Có </w:t>
      </w:r>
      <w:r w:rsidR="00FA2260" w:rsidRPr="00214EA3">
        <w:rPr>
          <w:rFonts w:ascii="Times New Roman" w:eastAsia="Times New Roman" w:hAnsi="Times New Roman" w:cs="Times New Roman"/>
          <w:color w:val="000000" w:themeColor="text1"/>
          <w:sz w:val="28"/>
          <w:szCs w:val="28"/>
        </w:rPr>
        <w:t>76</w:t>
      </w:r>
      <w:r w:rsidRPr="00214EA3">
        <w:rPr>
          <w:rFonts w:ascii="Times New Roman" w:eastAsia="Times New Roman" w:hAnsi="Times New Roman" w:cs="Times New Roman"/>
          <w:color w:val="000000" w:themeColor="text1"/>
          <w:sz w:val="28"/>
          <w:szCs w:val="28"/>
        </w:rPr>
        <w:t xml:space="preserve"> văn bản pháp luật còn hiệu lực, gồm Hiến pháp, Bộ luật, Luật, Nghị quyết của Quốc hội, Nghị định của Chính phủ và Thông tư của Bộ trưởng có quy định liên quan trực tiếp đến 03 chính sách xây dựng Luật Định danh và xác thực điện tử. Danh mục đầy đủ và bảng đối chiếu chi tiết được trình bày tại Phụ lục kèm theo Báo cáo này.</w:t>
      </w:r>
    </w:p>
    <w:p w14:paraId="1DAA0C1B" w14:textId="77777777" w:rsidR="00DD2E54" w:rsidRPr="00214EA3" w:rsidRDefault="0075365F" w:rsidP="00BB2C83">
      <w:pPr>
        <w:spacing w:before="100" w:after="10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Qua rà soát, các nội dung chính sách Luật Định danh và xác thực điện tử được quy phạm hóa thống nhất với các văn bản quy phạm pháp luật đã được ban hành, cụ thể như sau:</w:t>
      </w:r>
    </w:p>
    <w:p w14:paraId="1F9F32F7" w14:textId="77777777" w:rsidR="00DD2E54" w:rsidRPr="00214EA3" w:rsidRDefault="0075365F" w:rsidP="00BB2C83">
      <w:pPr>
        <w:spacing w:before="100" w:after="10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Tính đồng bộ, thống nhất: Các nội dung chính sách Luật Định danh và xác thực điện tử dự kiến sau khi được quy phạm hóa bảo đảm tính thống nhất, đồng bộ, hoàn toàn phù hợp với Hiến pháp và các văn bản quy phạm pháp luật đã được ban hành.</w:t>
      </w:r>
    </w:p>
    <w:p w14:paraId="3972E853" w14:textId="77777777" w:rsidR="00DD2E54" w:rsidRPr="00214EA3" w:rsidRDefault="0075365F" w:rsidP="00BB2C83">
      <w:pPr>
        <w:spacing w:before="100" w:after="10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Tính phù hợp, khả thi: Các nội dung chính sách Luật Định danh và xác thực điện tử dự kiến được quy phạm hóa cơ bản bảo đảm tính khả thi, phù hợp và đáp ứng được yêu cầu thực tiễn trong giai đoạn hiện nay về phát triển Chính phủ số, công dân số, doanh nghiệp số; quy định việc thực hiện nhiều thủ tục trên môi trường điện tử; thúc đẩy liên thông, hợp tác quốc tế về danh tính số.</w:t>
      </w:r>
    </w:p>
    <w:p w14:paraId="084793A5" w14:textId="77777777" w:rsidR="00DD2E54" w:rsidRPr="00214EA3" w:rsidRDefault="0075365F" w:rsidP="00BB2C83">
      <w:pPr>
        <w:spacing w:before="100" w:after="10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b/>
          <w:bCs/>
          <w:color w:val="000000" w:themeColor="text1"/>
          <w:sz w:val="28"/>
          <w:szCs w:val="28"/>
        </w:rPr>
        <w:t>3. Điều ước quốc tế có liên quan đến chính sách</w:t>
      </w:r>
    </w:p>
    <w:p w14:paraId="3CF7CC1A" w14:textId="3CC8D1FF" w:rsidR="00DD2E54" w:rsidRPr="00214EA3" w:rsidRDefault="0075365F" w:rsidP="00BB2C83">
      <w:pPr>
        <w:spacing w:before="100" w:after="10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xml:space="preserve">Tổng số điều ước quốc tế và văn kiện quốc tế mà Việt Nam là thành viên hoặc tham gia hợp tác liên quan đến chính sách: </w:t>
      </w:r>
      <w:r w:rsidR="00482D51">
        <w:rPr>
          <w:rFonts w:ascii="Times New Roman" w:eastAsia="Times New Roman" w:hAnsi="Times New Roman" w:cs="Times New Roman"/>
          <w:color w:val="000000" w:themeColor="text1"/>
          <w:sz w:val="28"/>
          <w:szCs w:val="28"/>
        </w:rPr>
        <w:t>10</w:t>
      </w:r>
      <w:r w:rsidRPr="00214EA3">
        <w:rPr>
          <w:rFonts w:ascii="Times New Roman" w:eastAsia="Times New Roman" w:hAnsi="Times New Roman" w:cs="Times New Roman"/>
          <w:color w:val="000000" w:themeColor="text1"/>
          <w:sz w:val="28"/>
          <w:szCs w:val="28"/>
        </w:rPr>
        <w:t xml:space="preserve"> văn bản, bao gồm:</w:t>
      </w:r>
    </w:p>
    <w:p w14:paraId="095DCCE7" w14:textId="77777777" w:rsidR="00DD2E54" w:rsidRPr="00214EA3" w:rsidRDefault="0075365F" w:rsidP="00BB2C83">
      <w:pPr>
        <w:spacing w:before="100" w:after="10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Nhóm Hiệp định thương mại tự do thế hệ mới: (1) Hiệp định Đối tác Toàn diện và Tiến bộ Xuyên Thái Bình Dương (CPTPP); (2) Hiệp định Thương mại tự do Việt Nam - Liên minh châu Âu (EVFTA); (3) Hiệp định Đối tác Kinh tế Toàn diện Khu vực (RCEP).</w:t>
      </w:r>
    </w:p>
    <w:p w14:paraId="6E8A6A05" w14:textId="74B5F626" w:rsidR="00DD2E54" w:rsidRPr="00214EA3" w:rsidRDefault="0075365F" w:rsidP="00BB2C83">
      <w:pPr>
        <w:spacing w:before="100" w:after="10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xml:space="preserve">- Nhóm khung hợp tác khu vực ASEAN: (4) Khung Tích hợp Kinh tế số ASEAN (ASEAN Digital Economy Framework Agreement </w:t>
      </w:r>
      <w:r w:rsidR="00AF1B84" w:rsidRPr="00214EA3">
        <w:rPr>
          <w:rFonts w:ascii="Times New Roman" w:eastAsia="Times New Roman" w:hAnsi="Times New Roman" w:cs="Times New Roman"/>
          <w:color w:val="000000" w:themeColor="text1"/>
          <w:sz w:val="28"/>
          <w:szCs w:val="28"/>
        </w:rPr>
        <w:t>-</w:t>
      </w:r>
      <w:r w:rsidRPr="00214EA3">
        <w:rPr>
          <w:rFonts w:ascii="Times New Roman" w:eastAsia="Times New Roman" w:hAnsi="Times New Roman" w:cs="Times New Roman"/>
          <w:color w:val="000000" w:themeColor="text1"/>
          <w:sz w:val="28"/>
          <w:szCs w:val="28"/>
        </w:rPr>
        <w:t xml:space="preserve"> DEFA) và Kế hoạch tổng thể về Cộng đồng kinh tế ASEAN 2025 (AEC Blueprint 2025).</w:t>
      </w:r>
    </w:p>
    <w:p w14:paraId="4F12332F" w14:textId="77777777" w:rsidR="00DD2E54" w:rsidRPr="00214EA3" w:rsidRDefault="0075365F" w:rsidP="00BB2C83">
      <w:pPr>
        <w:spacing w:before="100" w:after="10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Nhóm điều ước Liên Hợp Quốc về giao dịch điện tử: (5) Công ước Liên Hợp Quốc về Sử dụng giao dịch điện tử trong các hợp đồng quốc tế (Geneva 2005); (6) Luật mẫu UNCITRAL về Thương mại điện tử (1996, sửa đổi 1998); (7) Luật mẫu UNCITRAL về Chữ ký điện tử (2001).</w:t>
      </w:r>
    </w:p>
    <w:p w14:paraId="0842652C" w14:textId="6EE84938" w:rsidR="00DD2E54" w:rsidRPr="00214EA3" w:rsidRDefault="0075365F" w:rsidP="00BB2C83">
      <w:pPr>
        <w:spacing w:before="100" w:after="10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 Nhóm điều ước về quyền con người và phòng chống tham nhũng: (8) Công ước quốc tế về các quyền dân sự và chính trị (ICCPR); (9) Công ước Liên Hợp Quốc về chống tham nhũng (UNCAC)</w:t>
      </w:r>
      <w:r w:rsidR="000B0234" w:rsidRPr="00214EA3">
        <w:rPr>
          <w:rFonts w:ascii="Times New Roman" w:eastAsia="Times New Roman" w:hAnsi="Times New Roman" w:cs="Times New Roman"/>
          <w:color w:val="000000" w:themeColor="text1"/>
          <w:sz w:val="28"/>
          <w:szCs w:val="28"/>
        </w:rPr>
        <w:t>; (</w:t>
      </w:r>
      <w:r w:rsidR="00482D51">
        <w:rPr>
          <w:rFonts w:ascii="Times New Roman" w:eastAsia="Times New Roman" w:hAnsi="Times New Roman" w:cs="Times New Roman"/>
          <w:color w:val="000000" w:themeColor="text1"/>
          <w:sz w:val="28"/>
          <w:szCs w:val="28"/>
        </w:rPr>
        <w:t>10</w:t>
      </w:r>
      <w:r w:rsidR="000B0234" w:rsidRPr="00214EA3">
        <w:rPr>
          <w:rFonts w:ascii="Times New Roman" w:eastAsia="Times New Roman" w:hAnsi="Times New Roman" w:cs="Times New Roman"/>
          <w:color w:val="000000" w:themeColor="text1"/>
          <w:sz w:val="28"/>
          <w:szCs w:val="28"/>
        </w:rPr>
        <w:t>) Công ước của Liên Hợp Quốc về Chống Tội phạm có Tổ chức Xuyên quốc gia (UNTOC)</w:t>
      </w:r>
      <w:r w:rsidRPr="00214EA3">
        <w:rPr>
          <w:rFonts w:ascii="Times New Roman" w:eastAsia="Times New Roman" w:hAnsi="Times New Roman" w:cs="Times New Roman"/>
          <w:color w:val="000000" w:themeColor="text1"/>
          <w:sz w:val="28"/>
          <w:szCs w:val="28"/>
        </w:rPr>
        <w:t>.</w:t>
      </w:r>
    </w:p>
    <w:p w14:paraId="76300D51" w14:textId="77777777" w:rsidR="00DD2E54" w:rsidRPr="00214EA3" w:rsidRDefault="0075365F" w:rsidP="00BB2C83">
      <w:pPr>
        <w:spacing w:before="100" w:after="10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t>Qua rà soát, các chính sách của Dự thảo Luật Định danh và xác thực điện tử bảo đảm tương thích đầy đủ với các điều ước quốc tế nêu trên, đồng thời cơ bản phù hợp với các nguyên tắc quốc tế về bảo vệ dữ liệu cá nhân, xác thực điện tử xuyên biên giới và công nhận danh tính số. Bảng đối chiếu chi tiết được trình bày tại Phụ lục.</w:t>
      </w:r>
    </w:p>
    <w:p w14:paraId="2C7BCF71" w14:textId="77777777" w:rsidR="00DD2E54" w:rsidRPr="00214EA3" w:rsidRDefault="0075365F" w:rsidP="00BF781D">
      <w:pPr>
        <w:spacing w:before="120" w:after="120" w:line="240" w:lineRule="auto"/>
        <w:ind w:firstLine="720"/>
        <w:jc w:val="both"/>
        <w:rPr>
          <w:rFonts w:ascii="Times New Roman" w:eastAsia="Times New Roman" w:hAnsi="Times New Roman" w:cs="Times New Roman"/>
          <w:color w:val="000000" w:themeColor="text1"/>
          <w:sz w:val="28"/>
          <w:szCs w:val="28"/>
        </w:rPr>
      </w:pPr>
      <w:r w:rsidRPr="00214EA3">
        <w:rPr>
          <w:rFonts w:ascii="Times New Roman" w:eastAsia="Times New Roman" w:hAnsi="Times New Roman" w:cs="Times New Roman"/>
          <w:color w:val="000000" w:themeColor="text1"/>
          <w:sz w:val="28"/>
          <w:szCs w:val="28"/>
        </w:rPr>
        <w:lastRenderedPageBreak/>
        <w:t>Trên đây là Báo cáo rà soát các chủ trương, đường lối của Đảng, văn bản quy phạm pháp luật, điều ước quốc tế có liên quan đến chính sách Luật Định danh và xác thực điện tử của Bộ Công an./.</w:t>
      </w:r>
    </w:p>
    <w:p w14:paraId="24D1F500" w14:textId="77777777" w:rsidR="00DD2E54" w:rsidRPr="00214EA3" w:rsidRDefault="00DD2E54" w:rsidP="00BF781D">
      <w:pPr>
        <w:spacing w:before="120" w:after="120" w:line="240" w:lineRule="auto"/>
        <w:rPr>
          <w:rFonts w:ascii="Times New Roman" w:eastAsia="Times New Roman" w:hAnsi="Times New Roman" w:cs="Times New Roman"/>
          <w:color w:val="000000" w:themeColor="text1"/>
          <w:sz w:val="8"/>
          <w:szCs w:val="8"/>
        </w:rPr>
      </w:pPr>
    </w:p>
    <w:tbl>
      <w:tblPr>
        <w:tblStyle w:val="Style11"/>
        <w:tblW w:w="9685" w:type="dxa"/>
        <w:tblInd w:w="-115" w:type="dxa"/>
        <w:tblLayout w:type="fixed"/>
        <w:tblLook w:val="04A0" w:firstRow="1" w:lastRow="0" w:firstColumn="1" w:lastColumn="0" w:noHBand="0" w:noVBand="1"/>
      </w:tblPr>
      <w:tblGrid>
        <w:gridCol w:w="5087"/>
        <w:gridCol w:w="4598"/>
      </w:tblGrid>
      <w:tr w:rsidR="00214EA3" w:rsidRPr="00214EA3" w14:paraId="64AFAE30" w14:textId="77777777" w:rsidTr="00A131CE">
        <w:trPr>
          <w:trHeight w:val="2231"/>
        </w:trPr>
        <w:tc>
          <w:tcPr>
            <w:tcW w:w="5087" w:type="dxa"/>
          </w:tcPr>
          <w:p w14:paraId="25B0B766" w14:textId="77777777" w:rsidR="00DD2E54" w:rsidRPr="00214EA3" w:rsidRDefault="0075365F">
            <w:pPr>
              <w:spacing w:after="0" w:line="240" w:lineRule="auto"/>
              <w:rPr>
                <w:rFonts w:ascii="Times New Roman" w:eastAsia="Times New Roman" w:hAnsi="Times New Roman" w:cs="Times New Roman"/>
                <w:color w:val="000000" w:themeColor="text1"/>
              </w:rPr>
            </w:pPr>
            <w:r w:rsidRPr="00214EA3">
              <w:rPr>
                <w:rFonts w:ascii="Times New Roman" w:eastAsia="Times New Roman" w:hAnsi="Times New Roman" w:cs="Times New Roman"/>
                <w:b/>
                <w:bCs/>
                <w:i/>
                <w:iCs/>
                <w:color w:val="000000" w:themeColor="text1"/>
              </w:rPr>
              <w:t>Nơi nhận:</w:t>
            </w:r>
          </w:p>
          <w:p w14:paraId="485DA9B1" w14:textId="7BCCFB4A" w:rsidR="005F55F7" w:rsidRPr="00214EA3" w:rsidRDefault="0075365F">
            <w:pPr>
              <w:spacing w:after="0" w:line="240" w:lineRule="auto"/>
              <w:rPr>
                <w:rFonts w:ascii="Times New Roman" w:eastAsia="Times New Roman" w:hAnsi="Times New Roman" w:cs="Times New Roman"/>
                <w:color w:val="000000" w:themeColor="text1"/>
                <w:sz w:val="22"/>
                <w:szCs w:val="22"/>
              </w:rPr>
            </w:pPr>
            <w:r w:rsidRPr="00214EA3">
              <w:rPr>
                <w:rFonts w:ascii="Times New Roman" w:eastAsia="Times New Roman" w:hAnsi="Times New Roman" w:cs="Times New Roman"/>
                <w:color w:val="000000" w:themeColor="text1"/>
                <w:sz w:val="22"/>
                <w:szCs w:val="22"/>
              </w:rPr>
              <w:t xml:space="preserve">- </w:t>
            </w:r>
            <w:r w:rsidR="00E04D4E">
              <w:rPr>
                <w:rFonts w:ascii="Times New Roman" w:eastAsia="Times New Roman" w:hAnsi="Times New Roman" w:cs="Times New Roman"/>
                <w:color w:val="000000" w:themeColor="text1"/>
                <w:sz w:val="22"/>
                <w:szCs w:val="22"/>
              </w:rPr>
              <w:t>Văn phòng</w:t>
            </w:r>
            <w:r w:rsidRPr="00214EA3">
              <w:rPr>
                <w:rFonts w:ascii="Times New Roman" w:eastAsia="Times New Roman" w:hAnsi="Times New Roman" w:cs="Times New Roman"/>
                <w:color w:val="000000" w:themeColor="text1"/>
                <w:sz w:val="22"/>
                <w:szCs w:val="22"/>
              </w:rPr>
              <w:t xml:space="preserve"> Chính phủ;</w:t>
            </w:r>
          </w:p>
          <w:p w14:paraId="1D415198" w14:textId="6BB74253" w:rsidR="005F55F7" w:rsidRPr="005F55F7" w:rsidRDefault="005F55F7">
            <w:pPr>
              <w:spacing w:after="0" w:line="240" w:lineRule="auto"/>
              <w:rPr>
                <w:rFonts w:ascii="Times New Roman" w:eastAsia="Times New Roman" w:hAnsi="Times New Roman" w:cs="Times New Roman"/>
                <w:color w:val="000000" w:themeColor="text1"/>
                <w:spacing w:val="-8"/>
                <w:sz w:val="22"/>
                <w:szCs w:val="22"/>
              </w:rPr>
            </w:pPr>
            <w:r w:rsidRPr="005F55F7">
              <w:rPr>
                <w:rFonts w:ascii="Times New Roman" w:eastAsia="Times New Roman" w:hAnsi="Times New Roman" w:cs="Times New Roman"/>
                <w:color w:val="000000" w:themeColor="text1"/>
                <w:spacing w:val="-8"/>
                <w:sz w:val="22"/>
                <w:szCs w:val="22"/>
              </w:rPr>
              <w:t>- Ủy ban Quốc phòng, An ninh và Đối ngoại của Quốc hội;</w:t>
            </w:r>
          </w:p>
          <w:p w14:paraId="18CE49E5" w14:textId="28876CC2" w:rsidR="00DD2E54" w:rsidRDefault="0075365F">
            <w:pPr>
              <w:spacing w:after="0" w:line="240" w:lineRule="auto"/>
              <w:rPr>
                <w:rFonts w:ascii="Times New Roman" w:eastAsia="Times New Roman" w:hAnsi="Times New Roman" w:cs="Times New Roman"/>
                <w:color w:val="000000" w:themeColor="text1"/>
                <w:sz w:val="22"/>
                <w:szCs w:val="22"/>
              </w:rPr>
            </w:pPr>
            <w:r w:rsidRPr="00214EA3">
              <w:rPr>
                <w:rFonts w:ascii="Times New Roman" w:eastAsia="Times New Roman" w:hAnsi="Times New Roman" w:cs="Times New Roman"/>
                <w:color w:val="000000" w:themeColor="text1"/>
                <w:sz w:val="22"/>
                <w:szCs w:val="22"/>
              </w:rPr>
              <w:t>- Ủy ban Pháp luật và Tư pháp của Quốc hội;</w:t>
            </w:r>
          </w:p>
          <w:p w14:paraId="1BDD1228" w14:textId="77777777" w:rsidR="000D1DD4" w:rsidRDefault="000D1DD4" w:rsidP="000D1DD4">
            <w:pPr>
              <w:spacing w:after="0" w:line="240" w:lineRule="auto"/>
              <w:rPr>
                <w:rFonts w:ascii="Times New Roman" w:eastAsia="Times New Roman" w:hAnsi="Times New Roman" w:cs="Times New Roman"/>
                <w:color w:val="000000" w:themeColor="text1"/>
                <w:sz w:val="22"/>
                <w:szCs w:val="22"/>
              </w:rPr>
            </w:pPr>
            <w:r w:rsidRPr="00214EA3">
              <w:rPr>
                <w:rFonts w:ascii="Times New Roman" w:eastAsia="Times New Roman" w:hAnsi="Times New Roman" w:cs="Times New Roman"/>
                <w:color w:val="000000" w:themeColor="text1"/>
                <w:sz w:val="22"/>
                <w:szCs w:val="22"/>
              </w:rPr>
              <w:t>- Bộ Tư pháp;</w:t>
            </w:r>
          </w:p>
          <w:p w14:paraId="788B8793" w14:textId="5C8DCD22" w:rsidR="000D1DD4" w:rsidRPr="00214EA3" w:rsidRDefault="000D1DD4">
            <w:pPr>
              <w:spacing w:after="0" w:line="240" w:lineRule="auto"/>
              <w:rPr>
                <w:rFonts w:ascii="Times New Roman" w:eastAsia="Times New Roman" w:hAnsi="Times New Roman" w:cs="Times New Roman"/>
                <w:color w:val="000000" w:themeColor="text1"/>
                <w:sz w:val="22"/>
                <w:szCs w:val="22"/>
              </w:rPr>
            </w:pPr>
            <w:r>
              <w:rPr>
                <w:rFonts w:ascii="Times New Roman" w:eastAsia="Times New Roman" w:hAnsi="Times New Roman" w:cs="Times New Roman"/>
                <w:color w:val="000000" w:themeColor="text1"/>
                <w:sz w:val="22"/>
                <w:szCs w:val="22"/>
              </w:rPr>
              <w:t>- Các đồng chí Thứ trưởng Bộ Công an;</w:t>
            </w:r>
          </w:p>
          <w:p w14:paraId="3CF58BB1" w14:textId="77777777" w:rsidR="00DD2E54" w:rsidRPr="00214EA3" w:rsidRDefault="0075365F">
            <w:pPr>
              <w:spacing w:after="0" w:line="240" w:lineRule="auto"/>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2"/>
                <w:szCs w:val="22"/>
              </w:rPr>
              <w:t>- Lưu: VT, QLHC.</w:t>
            </w:r>
          </w:p>
        </w:tc>
        <w:tc>
          <w:tcPr>
            <w:tcW w:w="4598" w:type="dxa"/>
          </w:tcPr>
          <w:p w14:paraId="32FCD34D" w14:textId="5CEE0501" w:rsidR="00DD2E54" w:rsidRPr="000D1DD4" w:rsidRDefault="0075365F">
            <w:pPr>
              <w:spacing w:after="0" w:line="240" w:lineRule="auto"/>
              <w:jc w:val="center"/>
              <w:rPr>
                <w:rFonts w:ascii="Times New Roman" w:eastAsia="Times New Roman" w:hAnsi="Times New Roman" w:cs="Times New Roman"/>
                <w:b/>
                <w:bCs/>
                <w:color w:val="000000" w:themeColor="text1"/>
                <w:sz w:val="26"/>
                <w:szCs w:val="26"/>
              </w:rPr>
            </w:pPr>
            <w:r w:rsidRPr="000D1DD4">
              <w:rPr>
                <w:rFonts w:ascii="Times New Roman" w:eastAsia="Times New Roman" w:hAnsi="Times New Roman" w:cs="Times New Roman"/>
                <w:b/>
                <w:bCs/>
                <w:color w:val="000000" w:themeColor="text1"/>
                <w:sz w:val="26"/>
                <w:szCs w:val="26"/>
              </w:rPr>
              <w:t>BỘ TRƯỞNG</w:t>
            </w:r>
          </w:p>
          <w:p w14:paraId="28430E2F" w14:textId="77777777" w:rsidR="00DD2E54" w:rsidRPr="000D1DD4" w:rsidRDefault="00DD2E54">
            <w:pPr>
              <w:spacing w:after="240" w:line="240" w:lineRule="auto"/>
              <w:jc w:val="center"/>
              <w:rPr>
                <w:rFonts w:ascii="Times New Roman" w:eastAsia="Times New Roman" w:hAnsi="Times New Roman" w:cs="Times New Roman"/>
                <w:b/>
                <w:bCs/>
                <w:color w:val="000000" w:themeColor="text1"/>
                <w:sz w:val="26"/>
                <w:szCs w:val="26"/>
              </w:rPr>
            </w:pPr>
          </w:p>
          <w:p w14:paraId="1ACD36BC" w14:textId="77777777" w:rsidR="00734A5F" w:rsidRPr="000D1DD4" w:rsidRDefault="00734A5F">
            <w:pPr>
              <w:spacing w:after="240" w:line="240" w:lineRule="auto"/>
              <w:jc w:val="center"/>
              <w:rPr>
                <w:rFonts w:ascii="Times New Roman" w:eastAsia="Times New Roman" w:hAnsi="Times New Roman" w:cs="Times New Roman"/>
                <w:b/>
                <w:bCs/>
                <w:color w:val="000000" w:themeColor="text1"/>
                <w:sz w:val="26"/>
                <w:szCs w:val="26"/>
              </w:rPr>
            </w:pPr>
          </w:p>
          <w:p w14:paraId="41A1CD21" w14:textId="77777777" w:rsidR="005F55F7" w:rsidRPr="000D1DD4" w:rsidRDefault="005F55F7" w:rsidP="005F55F7">
            <w:pPr>
              <w:spacing w:after="0" w:line="240" w:lineRule="auto"/>
              <w:jc w:val="center"/>
              <w:rPr>
                <w:rFonts w:ascii="Times New Roman" w:eastAsia="Times New Roman" w:hAnsi="Times New Roman" w:cs="Times New Roman"/>
                <w:b/>
                <w:bCs/>
                <w:color w:val="000000" w:themeColor="text1"/>
                <w:sz w:val="26"/>
                <w:szCs w:val="26"/>
              </w:rPr>
            </w:pPr>
          </w:p>
          <w:p w14:paraId="3DC90ACA" w14:textId="0A9EB388" w:rsidR="00DD2E54" w:rsidRPr="00214EA3" w:rsidRDefault="00A567C7" w:rsidP="005F55F7">
            <w:pPr>
              <w:spacing w:after="0" w:line="240" w:lineRule="auto"/>
              <w:jc w:val="center"/>
              <w:rPr>
                <w:rFonts w:ascii="Times New Roman" w:eastAsia="Times New Roman" w:hAnsi="Times New Roman" w:cs="Times New Roman"/>
                <w:b/>
                <w:bCs/>
                <w:color w:val="000000" w:themeColor="text1"/>
                <w:sz w:val="28"/>
                <w:szCs w:val="28"/>
              </w:rPr>
            </w:pPr>
            <w:r w:rsidRPr="000D1DD4">
              <w:rPr>
                <w:rFonts w:ascii="Times New Roman" w:eastAsia="Times New Roman" w:hAnsi="Times New Roman" w:cs="Times New Roman"/>
                <w:b/>
                <w:bCs/>
                <w:color w:val="000000" w:themeColor="text1"/>
                <w:sz w:val="26"/>
                <w:szCs w:val="26"/>
              </w:rPr>
              <w:br/>
            </w:r>
            <w:r w:rsidR="005F55F7" w:rsidRPr="000D1DD4">
              <w:rPr>
                <w:rFonts w:ascii="Times New Roman" w:eastAsia="Times New Roman" w:hAnsi="Times New Roman" w:cs="Times New Roman"/>
                <w:b/>
                <w:bCs/>
                <w:color w:val="000000" w:themeColor="text1"/>
                <w:sz w:val="26"/>
                <w:szCs w:val="26"/>
              </w:rPr>
              <w:t>Đại tướng Lương Tam Quang</w:t>
            </w:r>
          </w:p>
        </w:tc>
      </w:tr>
    </w:tbl>
    <w:p w14:paraId="397E9035" w14:textId="0608ED7B" w:rsidR="00BB3193" w:rsidRPr="00214EA3" w:rsidRDefault="0075365F" w:rsidP="00A131CE">
      <w:pPr>
        <w:spacing w:after="0" w:line="240" w:lineRule="auto"/>
        <w:rPr>
          <w:rFonts w:ascii="Times New Roman" w:eastAsia="Times New Roman" w:hAnsi="Times New Roman" w:cs="Times New Roman"/>
          <w:b/>
          <w:bCs/>
          <w:color w:val="000000" w:themeColor="text1"/>
          <w:sz w:val="26"/>
          <w:szCs w:val="26"/>
        </w:rPr>
        <w:sectPr w:rsidR="00BB3193" w:rsidRPr="00214EA3" w:rsidSect="00BF781D">
          <w:headerReference w:type="even" r:id="rId8"/>
          <w:headerReference w:type="default" r:id="rId9"/>
          <w:pgSz w:w="11900" w:h="16840"/>
          <w:pgMar w:top="1134" w:right="1134" w:bottom="1134" w:left="1701" w:header="720" w:footer="0" w:gutter="0"/>
          <w:cols w:space="720"/>
          <w:titlePg/>
          <w:docGrid w:linePitch="326"/>
        </w:sectPr>
      </w:pPr>
      <w:r w:rsidRPr="00214EA3">
        <w:rPr>
          <w:rFonts w:ascii="Times New Roman" w:eastAsia="Times New Roman" w:hAnsi="Times New Roman" w:cs="Times New Roman"/>
          <w:color w:val="000000" w:themeColor="text1"/>
        </w:rPr>
        <w:br/>
      </w:r>
    </w:p>
    <w:p w14:paraId="44D3F636" w14:textId="77777777" w:rsidR="00DD2E54" w:rsidRPr="00214EA3" w:rsidRDefault="0075365F" w:rsidP="00BB3193">
      <w:pPr>
        <w:spacing w:after="100" w:line="240" w:lineRule="auto"/>
        <w:jc w:val="center"/>
        <w:rPr>
          <w:rFonts w:ascii="Times New Roman" w:eastAsia="Times New Roman" w:hAnsi="Times New Roman" w:cs="Times New Roman"/>
          <w:color w:val="000000" w:themeColor="text1"/>
        </w:rPr>
      </w:pPr>
      <w:r w:rsidRPr="00214EA3">
        <w:rPr>
          <w:rFonts w:ascii="Times New Roman" w:eastAsia="Times New Roman" w:hAnsi="Times New Roman" w:cs="Times New Roman"/>
          <w:b/>
          <w:bCs/>
          <w:color w:val="000000" w:themeColor="text1"/>
          <w:sz w:val="26"/>
          <w:szCs w:val="26"/>
        </w:rPr>
        <w:lastRenderedPageBreak/>
        <w:t>PHỤ LỤC</w:t>
      </w:r>
    </w:p>
    <w:p w14:paraId="017407E2" w14:textId="0F48C21E" w:rsidR="00DD2E54" w:rsidRPr="00214EA3" w:rsidRDefault="0075365F" w:rsidP="00BB3193">
      <w:pPr>
        <w:spacing w:after="60" w:line="240" w:lineRule="auto"/>
        <w:jc w:val="center"/>
        <w:rPr>
          <w:rFonts w:ascii="Times New Roman" w:eastAsia="Times New Roman" w:hAnsi="Times New Roman" w:cs="Times New Roman"/>
          <w:color w:val="000000" w:themeColor="text1"/>
        </w:rPr>
      </w:pPr>
      <w:r w:rsidRPr="00214EA3">
        <w:rPr>
          <w:rFonts w:ascii="Times New Roman" w:eastAsia="Times New Roman" w:hAnsi="Times New Roman" w:cs="Times New Roman"/>
          <w:b/>
          <w:bCs/>
          <w:color w:val="000000" w:themeColor="text1"/>
          <w:sz w:val="26"/>
          <w:szCs w:val="26"/>
        </w:rPr>
        <w:t>KẾT QUẢ RÀ SOÁT CHI TIẾT</w:t>
      </w:r>
      <w:r w:rsidR="00793E2D">
        <w:rPr>
          <w:rFonts w:ascii="Times New Roman" w:eastAsia="Times New Roman" w:hAnsi="Times New Roman" w:cs="Times New Roman"/>
          <w:b/>
          <w:bCs/>
          <w:color w:val="000000" w:themeColor="text1"/>
          <w:sz w:val="26"/>
          <w:szCs w:val="26"/>
          <w:lang w:val="vi-VN"/>
        </w:rPr>
        <w:t xml:space="preserve"> </w:t>
      </w:r>
      <w:r w:rsidRPr="00214EA3">
        <w:rPr>
          <w:rFonts w:ascii="Times New Roman" w:eastAsia="Times New Roman" w:hAnsi="Times New Roman" w:cs="Times New Roman"/>
          <w:b/>
          <w:bCs/>
          <w:color w:val="000000" w:themeColor="text1"/>
          <w:sz w:val="26"/>
          <w:szCs w:val="26"/>
        </w:rPr>
        <w:t>CHỦ TRƯƠNG, ĐƯỜNG LỐI CỦA ĐẢNG, VĂN BẢN QUY PHẠM PHÁP LUẬT VÀ ĐIỀU ƯỚC QUỐC TẾ</w:t>
      </w:r>
      <w:r w:rsidR="00BB3193" w:rsidRPr="00214EA3">
        <w:rPr>
          <w:rFonts w:ascii="Times New Roman" w:eastAsia="Times New Roman" w:hAnsi="Times New Roman" w:cs="Times New Roman"/>
          <w:b/>
          <w:bCs/>
          <w:color w:val="000000" w:themeColor="text1"/>
          <w:sz w:val="26"/>
          <w:szCs w:val="26"/>
        </w:rPr>
        <w:t xml:space="preserve"> </w:t>
      </w:r>
      <w:r w:rsidRPr="00214EA3">
        <w:rPr>
          <w:rFonts w:ascii="Times New Roman" w:eastAsia="Times New Roman" w:hAnsi="Times New Roman" w:cs="Times New Roman"/>
          <w:b/>
          <w:bCs/>
          <w:color w:val="000000" w:themeColor="text1"/>
          <w:sz w:val="26"/>
          <w:szCs w:val="26"/>
        </w:rPr>
        <w:t>CÓ LIÊN QUAN ĐẾN CHÍNH SÁCH XÂY DỰNG LUẬT ĐỊNH DANH VÀ XÁC THỰC ĐIỆN TỬ</w:t>
      </w:r>
    </w:p>
    <w:p w14:paraId="5B5F080C" w14:textId="12ED464B" w:rsidR="00DD2E54" w:rsidRPr="00214EA3" w:rsidRDefault="00BB3193">
      <w:pPr>
        <w:spacing w:after="240" w:line="240" w:lineRule="auto"/>
        <w:jc w:val="center"/>
        <w:rPr>
          <w:rFonts w:ascii="Times New Roman" w:eastAsia="Times New Roman" w:hAnsi="Times New Roman" w:cs="Times New Roman"/>
          <w:color w:val="000000" w:themeColor="text1"/>
        </w:rPr>
      </w:pPr>
      <w:r w:rsidRPr="00214EA3">
        <w:rPr>
          <w:rFonts w:ascii="Times New Roman" w:eastAsia="Times New Roman" w:hAnsi="Times New Roman" w:cs="Times New Roman"/>
          <w:i/>
          <w:iCs/>
          <w:noProof/>
          <w:color w:val="000000" w:themeColor="text1"/>
          <w:sz w:val="26"/>
          <w:szCs w:val="26"/>
          <w:lang w:val="en-US"/>
        </w:rPr>
        <mc:AlternateContent>
          <mc:Choice Requires="wps">
            <w:drawing>
              <wp:anchor distT="0" distB="0" distL="114300" distR="114300" simplePos="0" relativeHeight="251663360" behindDoc="0" locked="0" layoutInCell="1" allowOverlap="1" wp14:anchorId="4BC89951" wp14:editId="1455C3E0">
                <wp:simplePos x="0" y="0"/>
                <wp:positionH relativeFrom="column">
                  <wp:posOffset>3462048</wp:posOffset>
                </wp:positionH>
                <wp:positionV relativeFrom="paragraph">
                  <wp:posOffset>275480</wp:posOffset>
                </wp:positionV>
                <wp:extent cx="2097156" cy="0"/>
                <wp:effectExtent l="0" t="0" r="11430" b="12700"/>
                <wp:wrapNone/>
                <wp:docPr id="1012008893" name="Straight Connector 9"/>
                <wp:cNvGraphicFramePr/>
                <a:graphic xmlns:a="http://schemas.openxmlformats.org/drawingml/2006/main">
                  <a:graphicData uri="http://schemas.microsoft.com/office/word/2010/wordprocessingShape">
                    <wps:wsp>
                      <wps:cNvCnPr/>
                      <wps:spPr>
                        <a:xfrm>
                          <a:off x="0" y="0"/>
                          <a:ext cx="20971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6DAA3E59" id="Straight Connector 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72.6pt,21.7pt" to="437.7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" strokecolor="black [3040]"/>
            </w:pict>
          </mc:Fallback>
        </mc:AlternateContent>
      </w:r>
      <w:r w:rsidRPr="00214EA3">
        <w:rPr>
          <w:rFonts w:ascii="Times New Roman" w:eastAsia="Times New Roman" w:hAnsi="Times New Roman" w:cs="Times New Roman"/>
          <w:i/>
          <w:iCs/>
          <w:color w:val="000000" w:themeColor="text1"/>
          <w:sz w:val="26"/>
          <w:szCs w:val="26"/>
        </w:rPr>
        <w:t>(Kèm theo Báo cáo số       /BC-BCA ngày     tháng    năm 2026 của Bộ Công an)</w:t>
      </w:r>
    </w:p>
    <w:p w14:paraId="54E98DCB" w14:textId="77777777" w:rsidR="00BB3193" w:rsidRPr="00214EA3" w:rsidRDefault="00BB3193" w:rsidP="00BB3193">
      <w:pPr>
        <w:spacing w:before="120" w:after="120" w:line="240" w:lineRule="auto"/>
        <w:ind w:firstLine="720"/>
        <w:jc w:val="both"/>
        <w:rPr>
          <w:rFonts w:ascii="Times New Roman" w:eastAsia="Times New Roman" w:hAnsi="Times New Roman" w:cs="Times New Roman"/>
          <w:b/>
          <w:bCs/>
          <w:color w:val="000000" w:themeColor="text1"/>
          <w:sz w:val="10"/>
          <w:szCs w:val="10"/>
        </w:rPr>
      </w:pPr>
    </w:p>
    <w:p w14:paraId="67C48EDF" w14:textId="097E7F62" w:rsidR="00DD2E54" w:rsidRPr="00214EA3" w:rsidRDefault="0075365F" w:rsidP="00A131CE">
      <w:pPr>
        <w:spacing w:before="120" w:after="120" w:line="240" w:lineRule="auto"/>
        <w:ind w:firstLine="720"/>
        <w:jc w:val="both"/>
        <w:rPr>
          <w:rFonts w:ascii="Times New Roman" w:eastAsia="Times New Roman" w:hAnsi="Times New Roman" w:cs="Times New Roman"/>
          <w:b/>
          <w:bCs/>
          <w:color w:val="000000" w:themeColor="text1"/>
          <w:sz w:val="28"/>
          <w:szCs w:val="28"/>
        </w:rPr>
      </w:pPr>
      <w:r w:rsidRPr="00214EA3">
        <w:rPr>
          <w:rFonts w:ascii="Times New Roman" w:eastAsia="Times New Roman" w:hAnsi="Times New Roman" w:cs="Times New Roman"/>
          <w:b/>
          <w:bCs/>
          <w:color w:val="000000" w:themeColor="text1"/>
          <w:sz w:val="28"/>
          <w:szCs w:val="28"/>
        </w:rPr>
        <w:t>1. Chủ trương, đường lối của Đảng </w:t>
      </w:r>
    </w:p>
    <w:tbl>
      <w:tblPr>
        <w:tblStyle w:val="LiBang"/>
        <w:tblW w:w="14596" w:type="dxa"/>
        <w:tblLayout w:type="fixed"/>
        <w:tblLook w:val="04A0" w:firstRow="1" w:lastRow="0" w:firstColumn="1" w:lastColumn="0" w:noHBand="0" w:noVBand="1"/>
      </w:tblPr>
      <w:tblGrid>
        <w:gridCol w:w="2263"/>
        <w:gridCol w:w="4395"/>
        <w:gridCol w:w="3827"/>
        <w:gridCol w:w="4111"/>
      </w:tblGrid>
      <w:tr w:rsidR="00214EA3" w:rsidRPr="00214EA3" w14:paraId="506A89B9" w14:textId="77777777" w:rsidTr="00A131CE">
        <w:trPr>
          <w:tblHeader/>
        </w:trPr>
        <w:tc>
          <w:tcPr>
            <w:tcW w:w="2263" w:type="dxa"/>
            <w:vAlign w:val="center"/>
          </w:tcPr>
          <w:p w14:paraId="7AA9F67F" w14:textId="33AE68EA" w:rsidR="00DD2E54" w:rsidRPr="00214EA3" w:rsidRDefault="0075365F" w:rsidP="00A131CE">
            <w:pPr>
              <w:spacing w:before="60" w:after="60" w:line="240" w:lineRule="auto"/>
              <w:jc w:val="center"/>
              <w:rPr>
                <w:rFonts w:ascii="Times New Roman" w:eastAsia="Times New Roman" w:hAnsi="Times New Roman" w:cs="Times New Roman"/>
                <w:b/>
                <w:bCs/>
                <w:color w:val="000000" w:themeColor="text1"/>
              </w:rPr>
            </w:pPr>
            <w:r w:rsidRPr="00214EA3">
              <w:rPr>
                <w:rFonts w:ascii="Times New Roman" w:eastAsia="Times New Roman" w:hAnsi="Times New Roman" w:cs="Times New Roman"/>
                <w:b/>
                <w:bCs/>
                <w:color w:val="000000" w:themeColor="text1"/>
                <w:sz w:val="26"/>
                <w:szCs w:val="26"/>
              </w:rPr>
              <w:t xml:space="preserve">Tên và </w:t>
            </w:r>
            <w:r w:rsidR="00A57BDF" w:rsidRPr="00214EA3">
              <w:rPr>
                <w:rFonts w:ascii="Times New Roman" w:eastAsia="Times New Roman" w:hAnsi="Times New Roman" w:cs="Times New Roman"/>
                <w:b/>
                <w:bCs/>
                <w:color w:val="000000" w:themeColor="text1"/>
                <w:sz w:val="26"/>
                <w:szCs w:val="26"/>
              </w:rPr>
              <w:t xml:space="preserve">nội dung </w:t>
            </w:r>
            <w:r w:rsidRPr="00214EA3">
              <w:rPr>
                <w:rFonts w:ascii="Times New Roman" w:eastAsia="Times New Roman" w:hAnsi="Times New Roman" w:cs="Times New Roman"/>
                <w:b/>
                <w:bCs/>
                <w:color w:val="000000" w:themeColor="text1"/>
                <w:sz w:val="26"/>
                <w:szCs w:val="26"/>
              </w:rPr>
              <w:t xml:space="preserve">chính sách </w:t>
            </w:r>
          </w:p>
        </w:tc>
        <w:tc>
          <w:tcPr>
            <w:tcW w:w="4395" w:type="dxa"/>
            <w:vAlign w:val="center"/>
          </w:tcPr>
          <w:p w14:paraId="65625F25" w14:textId="77777777" w:rsidR="00DD2E54" w:rsidRPr="00214EA3" w:rsidRDefault="0075365F" w:rsidP="00A131CE">
            <w:pPr>
              <w:spacing w:before="60" w:after="60" w:line="240" w:lineRule="auto"/>
              <w:jc w:val="center"/>
              <w:rPr>
                <w:rFonts w:ascii="Times New Roman" w:eastAsia="Times New Roman" w:hAnsi="Times New Roman" w:cs="Times New Roman"/>
                <w:b/>
                <w:bCs/>
                <w:color w:val="000000" w:themeColor="text1"/>
              </w:rPr>
            </w:pPr>
            <w:r w:rsidRPr="00214EA3">
              <w:rPr>
                <w:rFonts w:ascii="Times New Roman" w:eastAsia="Times New Roman" w:hAnsi="Times New Roman" w:cs="Times New Roman"/>
                <w:b/>
                <w:bCs/>
                <w:color w:val="000000" w:themeColor="text1"/>
                <w:sz w:val="26"/>
                <w:szCs w:val="26"/>
              </w:rPr>
              <w:t>Quy định có liên quan của Đảng</w:t>
            </w:r>
          </w:p>
        </w:tc>
        <w:tc>
          <w:tcPr>
            <w:tcW w:w="3827" w:type="dxa"/>
            <w:vAlign w:val="center"/>
          </w:tcPr>
          <w:p w14:paraId="09E8F5C5" w14:textId="77777777" w:rsidR="00DD2E54" w:rsidRPr="00214EA3" w:rsidRDefault="0075365F" w:rsidP="00A131CE">
            <w:pPr>
              <w:spacing w:before="60" w:after="60" w:line="240" w:lineRule="auto"/>
              <w:jc w:val="center"/>
              <w:rPr>
                <w:rFonts w:ascii="Times New Roman" w:eastAsia="Times New Roman" w:hAnsi="Times New Roman" w:cs="Times New Roman"/>
                <w:b/>
                <w:bCs/>
                <w:color w:val="000000" w:themeColor="text1"/>
              </w:rPr>
            </w:pPr>
            <w:r w:rsidRPr="00214EA3">
              <w:rPr>
                <w:rFonts w:ascii="Times New Roman" w:eastAsia="Times New Roman" w:hAnsi="Times New Roman" w:cs="Times New Roman"/>
                <w:b/>
                <w:bCs/>
                <w:color w:val="000000" w:themeColor="text1"/>
                <w:sz w:val="26"/>
                <w:szCs w:val="26"/>
              </w:rPr>
              <w:t>Đánh giá sự phù hợp với chủ trương, đường lối của Đảng</w:t>
            </w:r>
          </w:p>
        </w:tc>
        <w:tc>
          <w:tcPr>
            <w:tcW w:w="4111" w:type="dxa"/>
            <w:vAlign w:val="center"/>
          </w:tcPr>
          <w:p w14:paraId="49294C8D" w14:textId="77777777" w:rsidR="00DD2E54" w:rsidRPr="00214EA3" w:rsidRDefault="0075365F" w:rsidP="00A131CE">
            <w:pPr>
              <w:spacing w:before="60" w:after="60" w:line="240" w:lineRule="auto"/>
              <w:jc w:val="center"/>
              <w:rPr>
                <w:rFonts w:ascii="Times New Roman" w:eastAsia="Times New Roman" w:hAnsi="Times New Roman" w:cs="Times New Roman"/>
                <w:b/>
                <w:bCs/>
                <w:color w:val="000000" w:themeColor="text1"/>
              </w:rPr>
            </w:pPr>
            <w:r w:rsidRPr="00214EA3">
              <w:rPr>
                <w:rFonts w:ascii="Times New Roman" w:eastAsia="Times New Roman" w:hAnsi="Times New Roman" w:cs="Times New Roman"/>
                <w:b/>
                <w:bCs/>
                <w:color w:val="000000" w:themeColor="text1"/>
                <w:sz w:val="26"/>
                <w:szCs w:val="26"/>
              </w:rPr>
              <w:t>Đề xuất xử lý</w:t>
            </w:r>
          </w:p>
        </w:tc>
      </w:tr>
      <w:tr w:rsidR="00214EA3" w:rsidRPr="00214EA3" w14:paraId="7E3009F4" w14:textId="77777777" w:rsidTr="00A131CE">
        <w:tc>
          <w:tcPr>
            <w:tcW w:w="2263" w:type="dxa"/>
            <w:vMerge w:val="restart"/>
          </w:tcPr>
          <w:p w14:paraId="2566EAD2"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b/>
                <w:bCs/>
                <w:color w:val="000000" w:themeColor="text1"/>
                <w:sz w:val="26"/>
                <w:szCs w:val="26"/>
              </w:rPr>
              <w:t xml:space="preserve">CHÍNH SÁCH 1: </w:t>
            </w:r>
            <w:r w:rsidRPr="00214EA3">
              <w:rPr>
                <w:rFonts w:ascii="Times New Roman" w:eastAsia="Times New Roman" w:hAnsi="Times New Roman" w:cs="Times New Roman"/>
                <w:color w:val="000000" w:themeColor="text1"/>
                <w:sz w:val="26"/>
                <w:szCs w:val="26"/>
              </w:rPr>
              <w:t>Thiết lập cơ chế cấp mã định danh và xác thực điện tử thống nhất, duy nhất cho chủ thể, đối tượng, không gian, dữ liệu và quá trình giao dịch trong quản lý nhà nước, kinh tế - xã hội số</w:t>
            </w:r>
          </w:p>
        </w:tc>
        <w:tc>
          <w:tcPr>
            <w:tcW w:w="4395" w:type="dxa"/>
          </w:tcPr>
          <w:p w14:paraId="784B5314"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Văn kiện Đại hội đại biểu toàn quốc lần thứ XIV của Đảng xác định 03 đột phá chiến lược, trong đó đột phá thứ ba là về hạ tầng đồng bộ, hiện đại: Ưu tiên hạ tầng giao thông chiến lược, hạ tầng năng lượng, hạ tầng đô thị, hạ tầng viễn thông, đặc biệt là hạ tầng số, hạ tầng dữ liệu; phát triển hạ tầng thích ứng biến đổi khí hậu; mở rộng không gian phát triển theo quy hoạch tổng thể quốc gia, bảo đảm liên kết vùng, liên kết địa phương, kết nối khu vực và toàn cầu.</w:t>
            </w:r>
          </w:p>
          <w:p w14:paraId="7CBF2078"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Nghị quyết số 57-NQ/TW ngày 22/12/2024 của Bộ Chính trị về đột phá phát triển khoa học, công nghệ, đổi mới sáng tạo và chuyển đổi số quốc gia xác định đây là yếu tố quyết định sự phát triển của đất nước, tạo cơ hội để Việt Nam trở nên giàu mạnh và hùng cường trong kỷ nguyên mới; đề ra mục tiêu đến năm 2030, quản lý nhà nước từ Trung </w:t>
            </w:r>
            <w:r w:rsidRPr="00214EA3">
              <w:rPr>
                <w:rFonts w:ascii="Times New Roman" w:eastAsia="Times New Roman" w:hAnsi="Times New Roman" w:cs="Times New Roman"/>
                <w:color w:val="000000" w:themeColor="text1"/>
                <w:sz w:val="26"/>
                <w:szCs w:val="26"/>
              </w:rPr>
              <w:lastRenderedPageBreak/>
              <w:t>ương đến địa phương trên môi trường số, kết nối và vận hành thông suốt giữa các cơ quan trong hệ thống chính trị.</w:t>
            </w:r>
          </w:p>
          <w:p w14:paraId="4B4DA5B0"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quyết số 52-NQ/TW ngày 27/9/2019 của Bộ Chính trị về một số chủ trương, chính sách chủ động tham gia cuộc Cách mạng công nghiệp lần thứ tư yêu cầu: "</w:t>
            </w:r>
            <w:r w:rsidRPr="00214EA3">
              <w:rPr>
                <w:rFonts w:ascii="Times New Roman" w:eastAsia="Times New Roman" w:hAnsi="Times New Roman" w:cs="Times New Roman"/>
                <w:i/>
                <w:iCs/>
                <w:color w:val="000000" w:themeColor="text1"/>
                <w:sz w:val="26"/>
                <w:szCs w:val="26"/>
              </w:rPr>
              <w:t>Xây dựng hành lang pháp lý cho định danh số và xác thực điện tử quốc gia; thiết lập khung danh tính số quốc gia</w:t>
            </w:r>
            <w:r w:rsidRPr="00214EA3">
              <w:rPr>
                <w:rFonts w:ascii="Times New Roman" w:eastAsia="Times New Roman" w:hAnsi="Times New Roman" w:cs="Times New Roman"/>
                <w:color w:val="000000" w:themeColor="text1"/>
                <w:sz w:val="26"/>
                <w:szCs w:val="26"/>
              </w:rPr>
              <w:t>". Cùng với đó, Nghị quyết yêu cầu hoàn thiện pháp luật, chính sách về dữ liệu, quản trị dữ liệu, tạo thuận lợi cho việc tạo dựng, kết nối, chia sẻ và khai thác dữ liệu bảo đảm an toàn, an ninh mạng trong nước, tiến tới kết nối với khu vực ASEAN và quốc tế.</w:t>
            </w:r>
          </w:p>
          <w:p w14:paraId="7CDA21C8"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Chỉ thị số 57-CT/TW ngày 31/12/2025 của Ban Bí thư về tăng cường bảo đảm an ninh mạng, bảo mật thông tin, an ninh dữ liệu trong hệ thống chính trị yêu cầu: "</w:t>
            </w:r>
            <w:r w:rsidRPr="00214EA3">
              <w:rPr>
                <w:rFonts w:ascii="Times New Roman" w:eastAsia="Times New Roman" w:hAnsi="Times New Roman" w:cs="Times New Roman"/>
                <w:i/>
                <w:iCs/>
                <w:color w:val="000000" w:themeColor="text1"/>
                <w:sz w:val="26"/>
                <w:szCs w:val="26"/>
              </w:rPr>
              <w:t>Triển khai hệ thống định danh và xác thực không gian mạng quốc gia; thống nhất định danh công dân, người dùng mạng xã hội, thuê bao viễn thông và tài nguyên Internet (tên miền, địa chỉ IP...)</w:t>
            </w:r>
            <w:r w:rsidRPr="00214EA3">
              <w:rPr>
                <w:rFonts w:ascii="Times New Roman" w:eastAsia="Times New Roman" w:hAnsi="Times New Roman" w:cs="Times New Roman"/>
                <w:color w:val="000000" w:themeColor="text1"/>
                <w:sz w:val="26"/>
                <w:szCs w:val="26"/>
              </w:rPr>
              <w:t>".</w:t>
            </w:r>
          </w:p>
          <w:p w14:paraId="574EF57C"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Nghị quyết số 30-NQ/TW ngày 25/7/2018 của Bộ Chính trị về Chiến lược An ninh mạng quốc gia, khẳng định việc xây dựng hệ thống định danh và xác thực điện tử quốc gia phục vụ các hoạt động của xã hội trên môi trường mạng an toàn, tin cậy.</w:t>
            </w:r>
          </w:p>
        </w:tc>
        <w:tc>
          <w:tcPr>
            <w:tcW w:w="3827" w:type="dxa"/>
          </w:tcPr>
          <w:p w14:paraId="0B2C6B3E" w14:textId="44FB9F4A" w:rsidR="00DD2E54" w:rsidRPr="00214EA3" w:rsidRDefault="0075365F" w:rsidP="00A131CE">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Điểm 1.1 phù hợp với định hướng chiến lược của Đảng tại Văn kiện ĐH XIV về hạ tầng dữ liệu và quản trị dựa trên dữ liệu, Nghị quyết 57-NQ/TW về nâng cao hiệu lực quản lý nhà nước, Nghị quyết 52-NQ/TW về thiết lập khung danh tính số quốc gia, Chỉ thị 57-CT/TW về thống nhất định danh các chủ thể trên không gian mạng và Nghị quyết số 30-NQ/TW ngày 25/7/2018 của Bộ Chính trị về Chiến lược An ninh mạng quốc gia.</w:t>
            </w:r>
          </w:p>
          <w:p w14:paraId="421AF128" w14:textId="77777777" w:rsidR="00DD2E54" w:rsidRPr="00214EA3" w:rsidRDefault="00DD2E54" w:rsidP="00A131CE">
            <w:pPr>
              <w:spacing w:before="60" w:after="60" w:line="240" w:lineRule="auto"/>
              <w:rPr>
                <w:rFonts w:ascii="Times New Roman" w:eastAsia="Times New Roman" w:hAnsi="Times New Roman" w:cs="Times New Roman"/>
                <w:color w:val="000000" w:themeColor="text1"/>
              </w:rPr>
            </w:pPr>
          </w:p>
          <w:p w14:paraId="1EA257E3"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Việc xác định phạm vi đối tượng định danh và xác thực điện tử một cách toàn diện là sự cụ thể hóa các chủ trương này, thiết lập nền tảng hạ tầng dữ liệu thống nhất phục vụ chuyển đổi số quốc gia. Đồng thời, </w:t>
            </w:r>
            <w:r w:rsidRPr="00214EA3">
              <w:rPr>
                <w:rFonts w:ascii="Times New Roman" w:eastAsia="Times New Roman" w:hAnsi="Times New Roman" w:cs="Times New Roman"/>
                <w:color w:val="000000" w:themeColor="text1"/>
                <w:sz w:val="26"/>
                <w:szCs w:val="26"/>
              </w:rPr>
              <w:lastRenderedPageBreak/>
              <w:t>phù hợp với chủ trương xây dựng hệ thống định danh và xác thực điện tử quốc gia tại Nghị quyết số 30-NQ/TW.</w:t>
            </w:r>
          </w:p>
        </w:tc>
        <w:tc>
          <w:tcPr>
            <w:tcW w:w="4111" w:type="dxa"/>
          </w:tcPr>
          <w:p w14:paraId="55125676" w14:textId="146B0D8E" w:rsidR="00DD2E54" w:rsidRPr="00214EA3" w:rsidRDefault="0075365F" w:rsidP="00BB3193">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xml:space="preserve">Đề xuất luật hóa </w:t>
            </w:r>
            <w:r w:rsidR="00B87CAC" w:rsidRPr="00214EA3">
              <w:rPr>
                <w:rFonts w:ascii="Times New Roman" w:eastAsia="Times New Roman" w:hAnsi="Times New Roman" w:cs="Times New Roman"/>
                <w:color w:val="000000" w:themeColor="text1"/>
                <w:sz w:val="26"/>
                <w:szCs w:val="26"/>
              </w:rPr>
              <w:t>Giải pháp</w:t>
            </w:r>
            <w:r w:rsidRPr="00214EA3">
              <w:rPr>
                <w:rFonts w:ascii="Times New Roman" w:eastAsia="Times New Roman" w:hAnsi="Times New Roman" w:cs="Times New Roman"/>
                <w:color w:val="000000" w:themeColor="text1"/>
                <w:sz w:val="26"/>
                <w:szCs w:val="26"/>
              </w:rPr>
              <w:t xml:space="preserve">: </w:t>
            </w:r>
            <w:r w:rsidR="003F0A90" w:rsidRPr="00214EA3">
              <w:rPr>
                <w:rFonts w:ascii="Times New Roman" w:eastAsia="Times New Roman" w:hAnsi="Times New Roman" w:cs="Times New Roman"/>
                <w:i/>
                <w:iCs/>
                <w:color w:val="000000" w:themeColor="text1"/>
                <w:sz w:val="26"/>
                <w:szCs w:val="26"/>
              </w:rPr>
              <w:t>“</w:t>
            </w:r>
            <w:r w:rsidRPr="00214EA3">
              <w:rPr>
                <w:rFonts w:ascii="Times New Roman" w:eastAsia="Times New Roman" w:hAnsi="Times New Roman" w:cs="Times New Roman"/>
                <w:i/>
                <w:iCs/>
                <w:color w:val="000000" w:themeColor="text1"/>
                <w:sz w:val="26"/>
                <w:szCs w:val="26"/>
              </w:rPr>
              <w:t>Quy định phạm vi, đối tượng được định danh và xác thực điện tử một cách toàn diện, bao quát toàn bộ các đối tượng trong quản lý nhà nước và hoạt động kinh tế - xã hội, bảo đảm mỗi đối tượng được cấp một mã định danh duy nhất</w:t>
            </w:r>
            <w:r w:rsidR="003F0A90" w:rsidRPr="00214EA3">
              <w:rPr>
                <w:rFonts w:ascii="Times New Roman" w:eastAsia="Times New Roman" w:hAnsi="Times New Roman" w:cs="Times New Roman"/>
                <w:i/>
                <w:iCs/>
                <w:color w:val="000000" w:themeColor="text1"/>
                <w:sz w:val="26"/>
                <w:szCs w:val="26"/>
              </w:rPr>
              <w:t>”</w:t>
            </w:r>
            <w:r w:rsidRPr="00214EA3">
              <w:rPr>
                <w:rFonts w:ascii="Times New Roman" w:eastAsia="Times New Roman" w:hAnsi="Times New Roman" w:cs="Times New Roman"/>
                <w:color w:val="000000" w:themeColor="text1"/>
                <w:sz w:val="26"/>
                <w:szCs w:val="26"/>
              </w:rPr>
              <w:t>, bao gồm 05 nhóm đối tượng: (i) cơ quan, tổ chức, cá nhân; (ii) đối tượng tồn tại dưới dạng vật chất; (iii) đối tượng tồn tại dưới dạng phi vật chất; (iv) địa điểm, không gian; (v) hoạt động, sự kiện, giao dịch, hành vi.</w:t>
            </w:r>
          </w:p>
          <w:p w14:paraId="672AF450" w14:textId="77777777" w:rsidR="003F0A90" w:rsidRPr="00214EA3" w:rsidRDefault="003F0A90" w:rsidP="00A131CE">
            <w:pPr>
              <w:spacing w:before="60" w:after="60" w:line="240" w:lineRule="auto"/>
              <w:jc w:val="both"/>
              <w:rPr>
                <w:rFonts w:ascii="Times New Roman" w:eastAsia="Times New Roman" w:hAnsi="Times New Roman" w:cs="Times New Roman"/>
                <w:color w:val="000000" w:themeColor="text1"/>
              </w:rPr>
            </w:pPr>
          </w:p>
          <w:p w14:paraId="3B8BD325" w14:textId="69F3AD51" w:rsidR="00DD2E54" w:rsidRPr="00214EA3" w:rsidRDefault="00B87CAC"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75365F" w:rsidRPr="00214EA3">
              <w:rPr>
                <w:rFonts w:ascii="Times New Roman" w:eastAsia="Times New Roman" w:hAnsi="Times New Roman" w:cs="Times New Roman"/>
                <w:color w:val="000000" w:themeColor="text1"/>
                <w:sz w:val="26"/>
                <w:szCs w:val="26"/>
              </w:rPr>
              <w:t xml:space="preserve"> này thể chế hóa đầy đủ hơn các nguyên tắc hiến định về quyền con người, quyền công dân; thiết lập khuôn khổ pháp lý thống nhất, khắc phục tình trạng phân tán giữa các quy định hiện hành trong lĩnh vực giao </w:t>
            </w:r>
            <w:r w:rsidR="0075365F" w:rsidRPr="00214EA3">
              <w:rPr>
                <w:rFonts w:ascii="Times New Roman" w:eastAsia="Times New Roman" w:hAnsi="Times New Roman" w:cs="Times New Roman"/>
                <w:color w:val="000000" w:themeColor="text1"/>
                <w:sz w:val="26"/>
                <w:szCs w:val="26"/>
              </w:rPr>
              <w:lastRenderedPageBreak/>
              <w:t>dịch điện tử, dân sự, an ninh mạng và các lĩnh vực chuyên ngành; nâng cao năng lực kiểm soát toàn trình các giao dịch số.</w:t>
            </w:r>
          </w:p>
        </w:tc>
      </w:tr>
      <w:tr w:rsidR="00214EA3" w:rsidRPr="00214EA3" w14:paraId="66BD658D" w14:textId="77777777" w:rsidTr="00A131CE">
        <w:tc>
          <w:tcPr>
            <w:tcW w:w="2263" w:type="dxa"/>
            <w:vMerge/>
          </w:tcPr>
          <w:p w14:paraId="13FADBD7" w14:textId="77777777" w:rsidR="00DD2E54" w:rsidRPr="00214EA3" w:rsidRDefault="00DD2E54" w:rsidP="00A131CE">
            <w:pPr>
              <w:widowControl w:val="0"/>
              <w:spacing w:before="60" w:after="60" w:line="240" w:lineRule="auto"/>
              <w:rPr>
                <w:rFonts w:ascii="Times New Roman" w:eastAsia="Times New Roman" w:hAnsi="Times New Roman" w:cs="Times New Roman"/>
                <w:color w:val="000000" w:themeColor="text1"/>
              </w:rPr>
            </w:pPr>
          </w:p>
        </w:tc>
        <w:tc>
          <w:tcPr>
            <w:tcW w:w="4395" w:type="dxa"/>
          </w:tcPr>
          <w:p w14:paraId="19D086DF"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quyết số 52-NQ/TW ngày 27/9/2019 của Bộ Chính trị về một số chủ trương, chính sách chủ động tham gia cuộc Cách mạng công nghiệp lần thứ tư yêu cầu: "</w:t>
            </w:r>
            <w:r w:rsidRPr="00214EA3">
              <w:rPr>
                <w:rFonts w:ascii="Times New Roman" w:eastAsia="Times New Roman" w:hAnsi="Times New Roman" w:cs="Times New Roman"/>
                <w:i/>
                <w:iCs/>
                <w:color w:val="000000" w:themeColor="text1"/>
                <w:sz w:val="26"/>
                <w:szCs w:val="26"/>
              </w:rPr>
              <w:t>Xây dựng hành lang pháp lý cho định danh số và xác thực điện tử quốc gia; thiết lập khung danh tính số quốc gia</w:t>
            </w:r>
            <w:r w:rsidRPr="00214EA3">
              <w:rPr>
                <w:rFonts w:ascii="Times New Roman" w:eastAsia="Times New Roman" w:hAnsi="Times New Roman" w:cs="Times New Roman"/>
                <w:color w:val="000000" w:themeColor="text1"/>
                <w:sz w:val="26"/>
                <w:szCs w:val="26"/>
              </w:rPr>
              <w:t>".</w:t>
            </w:r>
          </w:p>
          <w:p w14:paraId="6FD2E297"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Văn kiện Đại hội đại biểu toàn quốc lần thứ XIV của Đảng xác định đột phá chiến lược về hạ tầng số, hạ tầng dữ liệu, theo định hướng chuẩn hóa, đồng bộ và liên kết dữ liệu giữa các cơ quan trong hệ thống chính trị; khắc phục tình trạng phân tán, thiếu thống nhất trong quản lý mã định danh giữa các bộ, ngành, lĩnh vực.</w:t>
            </w:r>
          </w:p>
          <w:p w14:paraId="084BA2EF"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Chỉ thị số 57-CT/TW ngày 31/12/2025 của Ban Bí thư yêu cầu thống nhất định danh đối với công dân, người dùng mạng </w:t>
            </w:r>
            <w:r w:rsidRPr="00214EA3">
              <w:rPr>
                <w:rFonts w:ascii="Times New Roman" w:eastAsia="Times New Roman" w:hAnsi="Times New Roman" w:cs="Times New Roman"/>
                <w:color w:val="000000" w:themeColor="text1"/>
                <w:sz w:val="26"/>
                <w:szCs w:val="26"/>
              </w:rPr>
              <w:lastRenderedPageBreak/>
              <w:t>xã hội, thuê bao viễn thông và tài nguyên Internet; nghĩa là một chủ thể chỉ có một định danh duy nhất trên không gian mạng quốc gia, không tồn tại nhiều mã định danh song song do các cơ quan, doanh nghiệp khác nhau cấp.</w:t>
            </w:r>
          </w:p>
        </w:tc>
        <w:tc>
          <w:tcPr>
            <w:tcW w:w="3827" w:type="dxa"/>
          </w:tcPr>
          <w:p w14:paraId="58B669D6"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Điểm 1.2 phù hợp với định hướng của Đảng về thiết lập khung danh tính số quốc gia (Nghị quyết 52-NQ/TW) và thống nhất định danh (Chỉ thị 57-CT/TW), Văn kiện ĐH XIV về hạ tầng dữ liệu đồng bộ, Nghị quyết 57-NQ/TW về liên thông trong toàn hệ thống chính trị.</w:t>
            </w:r>
          </w:p>
          <w:p w14:paraId="69072DBA" w14:textId="77777777" w:rsidR="00DD2E54" w:rsidRPr="00214EA3" w:rsidRDefault="00DD2E54" w:rsidP="00A131CE">
            <w:pPr>
              <w:spacing w:before="60" w:after="60" w:line="240" w:lineRule="auto"/>
              <w:rPr>
                <w:rFonts w:ascii="Times New Roman" w:eastAsia="Times New Roman" w:hAnsi="Times New Roman" w:cs="Times New Roman"/>
                <w:color w:val="000000" w:themeColor="text1"/>
              </w:rPr>
            </w:pPr>
          </w:p>
          <w:p w14:paraId="5372237E"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Việc luật hóa nguyên tắc mã định danh duy nhất cho mỗi đối tượng là sự cụ thể hóa rõ nhất các chủ trương trên, khắc phục hiện trạng phân mảnh khi các bộ, ngành ban hành mã định danh chuyên ngành riêng.</w:t>
            </w:r>
          </w:p>
        </w:tc>
        <w:tc>
          <w:tcPr>
            <w:tcW w:w="4111" w:type="dxa"/>
          </w:tcPr>
          <w:p w14:paraId="2F840C1D" w14:textId="444CE720" w:rsidR="005644F9" w:rsidRPr="00214EA3" w:rsidRDefault="0075365F">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Đề xuất luật hóa nguyên tắc "mỗi đối tượng được cấp một mã định danh duy nhất", thay thế các mã định danh chuyên ngành phân mảnh hiện nay của các bộ, ngành.</w:t>
            </w:r>
          </w:p>
          <w:p w14:paraId="235B38BB" w14:textId="7F63AA10" w:rsidR="00092CC9" w:rsidRPr="00214EA3" w:rsidRDefault="005644F9" w:rsidP="005644F9">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w:t>
            </w:r>
            <w:r w:rsidR="00092CC9" w:rsidRPr="00214EA3">
              <w:rPr>
                <w:rFonts w:ascii="Times New Roman" w:eastAsia="Times New Roman" w:hAnsi="Times New Roman" w:cs="Times New Roman"/>
                <w:color w:val="000000" w:themeColor="text1"/>
                <w:sz w:val="26"/>
                <w:szCs w:val="26"/>
              </w:rPr>
              <w:t xml:space="preserve"> Mã định danh điện tử được thiết kế trên cơ sở kế thừa và liên thông với các mã số chuyên ngành hiện có, không làm phát sinh yêu cầu thay thế các mã số hiện có; bảo đảm kết nối, chia sẻ dữ liệu và thực hiện chuyển đổi theo lộ trình phù hợp, tránh phát sinh xung đột pháp lý và chi phí tuân thủ đối với hoạt động của cơ quan, tổ chức, cá nhân.</w:t>
            </w:r>
          </w:p>
          <w:p w14:paraId="1209D564" w14:textId="77777777" w:rsidR="00DD2E54" w:rsidRPr="00214EA3" w:rsidRDefault="00DD2E54" w:rsidP="00A131CE">
            <w:pPr>
              <w:spacing w:before="60" w:after="60" w:line="240" w:lineRule="auto"/>
              <w:jc w:val="both"/>
              <w:rPr>
                <w:rFonts w:ascii="Times New Roman" w:eastAsia="Times New Roman" w:hAnsi="Times New Roman" w:cs="Times New Roman"/>
                <w:color w:val="000000" w:themeColor="text1"/>
              </w:rPr>
            </w:pPr>
          </w:p>
          <w:p w14:paraId="1E4C0DE2"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Giải pháp này khắc phục tình trạng phân tán, thiếu liên kết giữa các quy định hiện hành; tạo nền tảng pháp lý đồng bộ, thống nhất cho việc liên </w:t>
            </w:r>
            <w:r w:rsidRPr="00214EA3">
              <w:rPr>
                <w:rFonts w:ascii="Times New Roman" w:eastAsia="Times New Roman" w:hAnsi="Times New Roman" w:cs="Times New Roman"/>
                <w:color w:val="000000" w:themeColor="text1"/>
                <w:sz w:val="26"/>
                <w:szCs w:val="26"/>
              </w:rPr>
              <w:lastRenderedPageBreak/>
              <w:t>thông, chia sẻ dữ liệu giữa các bộ, ngành; nâng cao hiệu quả quản trị quốc gia dựa trên dữ liệu thống nhất.</w:t>
            </w:r>
          </w:p>
        </w:tc>
      </w:tr>
      <w:tr w:rsidR="00214EA3" w:rsidRPr="00214EA3" w14:paraId="7B32B0F4" w14:textId="77777777" w:rsidTr="00A131CE">
        <w:tc>
          <w:tcPr>
            <w:tcW w:w="2263" w:type="dxa"/>
            <w:vMerge/>
          </w:tcPr>
          <w:p w14:paraId="0AEDB2E2" w14:textId="77777777" w:rsidR="00DD2E54" w:rsidRPr="00214EA3" w:rsidRDefault="00DD2E54" w:rsidP="00A131CE">
            <w:pPr>
              <w:widowControl w:val="0"/>
              <w:spacing w:before="60" w:after="60" w:line="240" w:lineRule="auto"/>
              <w:rPr>
                <w:rFonts w:ascii="Times New Roman" w:eastAsia="Times New Roman" w:hAnsi="Times New Roman" w:cs="Times New Roman"/>
                <w:color w:val="000000" w:themeColor="text1"/>
              </w:rPr>
            </w:pPr>
          </w:p>
        </w:tc>
        <w:tc>
          <w:tcPr>
            <w:tcW w:w="4395" w:type="dxa"/>
          </w:tcPr>
          <w:p w14:paraId="5BF447B7"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Chỉ thị số 57-CT/TW ngày 31/12/2025 của Ban Bí thư yêu cầu: "Kiên quyết xử lý triệt để tình trạng SIM "rác", tài khoản "ảo", nặc danh; áp dụng biện pháp xác thực danh tính bắt buộc đối với người dùng mạng xã hội". Yêu cầu này nhằm chấm dứt tình trạng giao dịch số ẩn danh, gắn mọi hành vi trên không gian mạng với chủ thể quản lý, sở hữu cụ thể.</w:t>
            </w:r>
          </w:p>
          <w:p w14:paraId="4570197D" w14:textId="77777777" w:rsidR="00DD2E54" w:rsidRPr="00214EA3" w:rsidRDefault="0075365F">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Nghị quyết số 52-NQ/TW ngày 27/9/2019 của Bộ Chính trị, theo định hướng đẩy mạnh ứng dụng công nghệ thông tin để phòng, chống các hành vi vi phạm pháp luật trên không gian mạng; ngăn chặn kịp thời các tác động tiêu cực cả về kinh tế và xã hội, bảo đảm quốc phòng, an ninh quốc gia, trật tự, an toàn xã hội trên không gian mạng — yêu cầu khả năng truy xuất nguồn gốc các đối tượng giao dịch.</w:t>
            </w:r>
          </w:p>
          <w:p w14:paraId="788E9A5C" w14:textId="07C92CE8" w:rsidR="00DD2E54" w:rsidRPr="00983405" w:rsidRDefault="005644F9" w:rsidP="00282DF7">
            <w:pPr>
              <w:spacing w:before="60" w:after="60" w:line="240" w:lineRule="auto"/>
              <w:jc w:val="both"/>
              <w:rPr>
                <w:rFonts w:ascii="Times New Roman" w:eastAsia="Times New Roman" w:hAnsi="Times New Roman" w:cs="Times New Roman"/>
                <w:color w:val="000000" w:themeColor="text1"/>
                <w:lang w:val="vi-VN"/>
              </w:rPr>
            </w:pPr>
            <w:r w:rsidRPr="00214EA3">
              <w:rPr>
                <w:rFonts w:ascii="Times New Roman" w:eastAsia="Times New Roman" w:hAnsi="Times New Roman" w:cs="Times New Roman"/>
                <w:color w:val="000000" w:themeColor="text1"/>
                <w:sz w:val="26"/>
                <w:szCs w:val="26"/>
              </w:rPr>
              <w:lastRenderedPageBreak/>
              <w:t xml:space="preserve">- Quyết định số 826/QĐ-TTg ngày 11/5/2026 của Thủ tướng Chính phủ: Về việc phê duyệt Chương trình Đề án phát triển ứng dụng dữ liệu về dân cư, định danh và xác thực điện tử phục vụ chuyển đổi số quốc gia giai đoạn 2026 - 2030, tầm nhìn đến năm 2035, trong đó có nhiệm vụ: “Nghiên cứu triển khai xây dựng các nền tảng chuỗi khối quốc gia, định danh phi tập trung quốc gia, định danh, xác thực, truy xuất nguồn gốc sản phẩm, hàng hóa, hệ thống lưu trữ, giao kết, xác nhận giao dịch điện tử qua nền tảng VNeID, nền tảng số quốc gia về văn thư, lưu trữ” phục vụ mở rộng hạ tầng, hoàn thiện hệ sinh thái phục vụ tạo lập, kết nối, </w:t>
            </w:r>
            <w:r w:rsidR="00C61481">
              <w:rPr>
                <w:rFonts w:ascii="Times New Roman" w:eastAsia="Times New Roman" w:hAnsi="Times New Roman" w:cs="Times New Roman"/>
                <w:color w:val="000000" w:themeColor="text1"/>
                <w:sz w:val="26"/>
                <w:szCs w:val="26"/>
              </w:rPr>
              <w:t>kha</w:t>
            </w:r>
            <w:r w:rsidRPr="00214EA3">
              <w:rPr>
                <w:rFonts w:ascii="Times New Roman" w:eastAsia="Times New Roman" w:hAnsi="Times New Roman" w:cs="Times New Roman"/>
                <w:color w:val="000000" w:themeColor="text1"/>
                <w:sz w:val="26"/>
                <w:szCs w:val="26"/>
              </w:rPr>
              <w:t xml:space="preserve">i thác, bổ sung làm giàu dữ </w:t>
            </w:r>
            <w:r w:rsidR="00983405">
              <w:rPr>
                <w:rFonts w:ascii="Times New Roman" w:eastAsia="Times New Roman" w:hAnsi="Times New Roman" w:cs="Times New Roman"/>
                <w:color w:val="000000" w:themeColor="text1"/>
                <w:sz w:val="26"/>
                <w:szCs w:val="26"/>
              </w:rPr>
              <w:t>liệu</w:t>
            </w:r>
            <w:r w:rsidR="00983405">
              <w:rPr>
                <w:rFonts w:ascii="Times New Roman" w:eastAsia="Times New Roman" w:hAnsi="Times New Roman" w:cs="Times New Roman"/>
                <w:color w:val="000000" w:themeColor="text1"/>
                <w:sz w:val="26"/>
                <w:szCs w:val="26"/>
                <w:lang w:val="vi-VN"/>
              </w:rPr>
              <w:t>.</w:t>
            </w:r>
          </w:p>
        </w:tc>
        <w:tc>
          <w:tcPr>
            <w:tcW w:w="3827" w:type="dxa"/>
          </w:tcPr>
          <w:p w14:paraId="11C4C658" w14:textId="38A09A9B" w:rsidR="00DD2E54" w:rsidRPr="00214EA3" w:rsidRDefault="0075365F" w:rsidP="00BB3193">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Điểm 1.3 phù hợp với định hướng của Đảng về truy vết, truy xuất giao dịch số: Chỉ thị 57-CT/TW yêu cầu xử lý SIM "rác", tài khoản "ảo", nặc danh — yêu cầu này chỉ có thể thực hiện khi có cơ chế liên kết đối tượng với định danh chủ thể quản lý, sở hữu.</w:t>
            </w:r>
          </w:p>
          <w:p w14:paraId="00471CED" w14:textId="77777777" w:rsidR="00A57BDF" w:rsidRPr="00214EA3" w:rsidRDefault="00A57BDF" w:rsidP="00A131CE">
            <w:pPr>
              <w:spacing w:before="60" w:after="60" w:line="240" w:lineRule="auto"/>
              <w:jc w:val="both"/>
              <w:rPr>
                <w:rFonts w:ascii="Times New Roman" w:eastAsia="Times New Roman" w:hAnsi="Times New Roman" w:cs="Times New Roman"/>
                <w:color w:val="000000" w:themeColor="text1"/>
              </w:rPr>
            </w:pPr>
          </w:p>
          <w:p w14:paraId="42DAE864" w14:textId="77777777" w:rsidR="00DD2E54" w:rsidRPr="00214EA3" w:rsidRDefault="0075365F">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Nghị quyết 52-NQ/TW có định hướng tương đồng về nâng cao hiệu quả quản lý nhà nước trên không gian mạng. Việc luật hóa nguyên tắc liên kết đối tượng với chủ thể quản lý, sở hữu là cơ sở để truy vết các hành vi vi phạm pháp luật.</w:t>
            </w:r>
          </w:p>
          <w:p w14:paraId="22A1566A" w14:textId="77777777" w:rsidR="005644F9" w:rsidRPr="00214EA3" w:rsidRDefault="005644F9" w:rsidP="005644F9">
            <w:pPr>
              <w:spacing w:before="60" w:after="60" w:line="240" w:lineRule="auto"/>
              <w:jc w:val="both"/>
              <w:rPr>
                <w:rFonts w:ascii="Times New Roman" w:eastAsia="Times New Roman" w:hAnsi="Times New Roman" w:cs="Times New Roman"/>
                <w:color w:val="000000" w:themeColor="text1"/>
                <w:sz w:val="26"/>
                <w:szCs w:val="26"/>
              </w:rPr>
            </w:pPr>
          </w:p>
          <w:p w14:paraId="3D8623DD" w14:textId="55203950" w:rsidR="005644F9" w:rsidRPr="00214EA3" w:rsidRDefault="005644F9" w:rsidP="005644F9">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Dự thảo chính sách phù hợp với chủ trương tại Quyết định số 826/QĐ-TTg về xây dựng các nền </w:t>
            </w:r>
            <w:r w:rsidRPr="00214EA3">
              <w:rPr>
                <w:rFonts w:ascii="Times New Roman" w:eastAsia="Times New Roman" w:hAnsi="Times New Roman" w:cs="Times New Roman"/>
                <w:color w:val="000000" w:themeColor="text1"/>
                <w:sz w:val="26"/>
                <w:szCs w:val="26"/>
              </w:rPr>
              <w:lastRenderedPageBreak/>
              <w:t>tảng chuỗi khối quốc gia, định danh phi tập trung quốc gia, định danh, xác thực, truy xuất nguồn gốc sản phẩm, hàng hóa, hệ thống lưu trữ, giao kết, xác nhận giao dịch điện tử qua nền tảng VNeID</w:t>
            </w:r>
          </w:p>
        </w:tc>
        <w:tc>
          <w:tcPr>
            <w:tcW w:w="4111" w:type="dxa"/>
          </w:tcPr>
          <w:p w14:paraId="0DCE6795" w14:textId="6331088D" w:rsidR="00A57BDF" w:rsidRPr="00214EA3" w:rsidRDefault="0075365F" w:rsidP="00A131CE">
            <w:pPr>
              <w:spacing w:before="60" w:after="60" w:line="240" w:lineRule="auto"/>
              <w:jc w:val="both"/>
              <w:rPr>
                <w:rFonts w:ascii="Times New Roman" w:eastAsia="Times New Roman" w:hAnsi="Times New Roman" w:cs="Times New Roman"/>
                <w:i/>
                <w:iCs/>
                <w:color w:val="000000" w:themeColor="text1"/>
              </w:rPr>
            </w:pPr>
            <w:r w:rsidRPr="00214EA3">
              <w:rPr>
                <w:rFonts w:ascii="Times New Roman" w:eastAsia="Times New Roman" w:hAnsi="Times New Roman" w:cs="Times New Roman"/>
                <w:color w:val="000000" w:themeColor="text1"/>
                <w:sz w:val="26"/>
                <w:szCs w:val="26"/>
              </w:rPr>
              <w:lastRenderedPageBreak/>
              <w:t xml:space="preserve">Đề xuất luật hóa nguyên tắc liên kết đối tượng được định danh với định danh của chủ thể quản lý, sở hữu, theo tinh thần </w:t>
            </w:r>
            <w:r w:rsidR="00A57BDF" w:rsidRPr="00214EA3">
              <w:rPr>
                <w:rFonts w:ascii="Times New Roman" w:eastAsia="Times New Roman" w:hAnsi="Times New Roman" w:cs="Times New Roman"/>
                <w:i/>
                <w:iCs/>
                <w:color w:val="000000" w:themeColor="text1"/>
                <w:sz w:val="26"/>
                <w:szCs w:val="26"/>
              </w:rPr>
              <w:t>“</w:t>
            </w:r>
            <w:r w:rsidRPr="00214EA3">
              <w:rPr>
                <w:rFonts w:ascii="Times New Roman" w:eastAsia="Times New Roman" w:hAnsi="Times New Roman" w:cs="Times New Roman"/>
                <w:i/>
                <w:iCs/>
                <w:color w:val="000000" w:themeColor="text1"/>
                <w:sz w:val="26"/>
                <w:szCs w:val="26"/>
              </w:rPr>
              <w:t>khép kín chuỗi kiểm soát giao dịch số</w:t>
            </w:r>
            <w:r w:rsidR="00A57BDF" w:rsidRPr="00214EA3">
              <w:rPr>
                <w:rFonts w:ascii="Times New Roman" w:eastAsia="Times New Roman" w:hAnsi="Times New Roman" w:cs="Times New Roman"/>
                <w:i/>
                <w:iCs/>
                <w:color w:val="000000" w:themeColor="text1"/>
                <w:sz w:val="26"/>
                <w:szCs w:val="26"/>
              </w:rPr>
              <w:t>”</w:t>
            </w:r>
            <w:r w:rsidRPr="00214EA3">
              <w:rPr>
                <w:rFonts w:ascii="Times New Roman" w:eastAsia="Times New Roman" w:hAnsi="Times New Roman" w:cs="Times New Roman"/>
                <w:i/>
                <w:iCs/>
                <w:color w:val="000000" w:themeColor="text1"/>
                <w:sz w:val="26"/>
                <w:szCs w:val="26"/>
              </w:rPr>
              <w:t>.</w:t>
            </w:r>
          </w:p>
          <w:p w14:paraId="41472A17" w14:textId="77777777" w:rsidR="00DD2E54" w:rsidRPr="00214EA3" w:rsidRDefault="00DD2E54" w:rsidP="00A131CE">
            <w:pPr>
              <w:spacing w:before="60" w:after="60" w:line="240" w:lineRule="auto"/>
              <w:jc w:val="both"/>
              <w:rPr>
                <w:rFonts w:ascii="Times New Roman" w:eastAsia="Times New Roman" w:hAnsi="Times New Roman" w:cs="Times New Roman"/>
                <w:color w:val="000000" w:themeColor="text1"/>
              </w:rPr>
            </w:pPr>
          </w:p>
          <w:p w14:paraId="4A338F17" w14:textId="6B21E23C" w:rsidR="00DD2E54" w:rsidRPr="00214EA3" w:rsidRDefault="00B87CAC">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Giải pháp</w:t>
            </w:r>
            <w:r w:rsidR="0075365F" w:rsidRPr="00214EA3">
              <w:rPr>
                <w:rFonts w:ascii="Times New Roman" w:eastAsia="Times New Roman" w:hAnsi="Times New Roman" w:cs="Times New Roman"/>
                <w:color w:val="000000" w:themeColor="text1"/>
                <w:sz w:val="26"/>
                <w:szCs w:val="26"/>
              </w:rPr>
              <w:t xml:space="preserve"> này nâng cao hiệu quả phát hiện sớm giao dịch đáng ngờ; nâng cao hiệu quả điều tra, truy vết và thu hồi tài sản trong các vụ án công nghệ cao. Lĩnh vực ngân hàng thường xuyên nhận báo cáo giao dịch đáng ngờ về rửa tiền, cho thấy nhu cầu cấp thiết về cơ chế liên kết đối tượng với chủ thể.</w:t>
            </w:r>
          </w:p>
          <w:p w14:paraId="54B362AF" w14:textId="77777777" w:rsidR="005644F9" w:rsidRPr="00214EA3" w:rsidRDefault="005644F9" w:rsidP="005644F9">
            <w:pPr>
              <w:spacing w:before="60" w:after="60" w:line="240" w:lineRule="auto"/>
              <w:jc w:val="both"/>
              <w:rPr>
                <w:rFonts w:ascii="Times New Roman" w:eastAsia="Times New Roman" w:hAnsi="Times New Roman" w:cs="Times New Roman"/>
                <w:color w:val="000000" w:themeColor="text1"/>
                <w:sz w:val="26"/>
                <w:szCs w:val="26"/>
              </w:rPr>
            </w:pPr>
          </w:p>
          <w:p w14:paraId="56FC2C21" w14:textId="77777777" w:rsidR="005644F9" w:rsidRPr="00214EA3" w:rsidRDefault="005644F9" w:rsidP="005644F9">
            <w:pPr>
              <w:spacing w:before="60" w:after="60" w:line="240" w:lineRule="auto"/>
              <w:jc w:val="both"/>
              <w:rPr>
                <w:rFonts w:ascii="Times New Roman" w:eastAsia="Times New Roman" w:hAnsi="Times New Roman" w:cs="Times New Roman"/>
                <w:color w:val="000000" w:themeColor="text1"/>
                <w:sz w:val="26"/>
                <w:szCs w:val="26"/>
              </w:rPr>
            </w:pPr>
          </w:p>
          <w:p w14:paraId="622687C0" w14:textId="058845B1" w:rsidR="005644F9" w:rsidRPr="00214EA3" w:rsidRDefault="005644F9" w:rsidP="005644F9">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Đề xuất quy định về mô hình định danh tập trung và tự chủ; quy định về xác thự</w:t>
            </w:r>
            <w:r w:rsidR="00407395" w:rsidRPr="00214EA3">
              <w:rPr>
                <w:rFonts w:ascii="Times New Roman" w:eastAsia="Times New Roman" w:hAnsi="Times New Roman" w:cs="Times New Roman"/>
                <w:color w:val="000000" w:themeColor="text1"/>
                <w:sz w:val="26"/>
                <w:szCs w:val="26"/>
              </w:rPr>
              <w:t>c giao dịch.</w:t>
            </w:r>
          </w:p>
        </w:tc>
      </w:tr>
      <w:tr w:rsidR="00214EA3" w:rsidRPr="00214EA3" w14:paraId="6BF5645A" w14:textId="77777777" w:rsidTr="00A131CE">
        <w:tc>
          <w:tcPr>
            <w:tcW w:w="2263" w:type="dxa"/>
            <w:vMerge w:val="restart"/>
          </w:tcPr>
          <w:p w14:paraId="1A3F09A8"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b/>
                <w:bCs/>
                <w:color w:val="000000" w:themeColor="text1"/>
                <w:sz w:val="26"/>
                <w:szCs w:val="26"/>
              </w:rPr>
              <w:t xml:space="preserve">CHÍNH SÁCH 2: </w:t>
            </w:r>
            <w:r w:rsidRPr="00214EA3">
              <w:rPr>
                <w:rFonts w:ascii="Times New Roman" w:eastAsia="Times New Roman" w:hAnsi="Times New Roman" w:cs="Times New Roman"/>
                <w:color w:val="000000" w:themeColor="text1"/>
                <w:sz w:val="26"/>
                <w:szCs w:val="26"/>
              </w:rPr>
              <w:t xml:space="preserve">Xây dựng Cơ sở dữ liệu quốc gia về định danh và xác thực điện tử, gắn với phát triển Ứng dụng định danh quốc gia (VNeID) để khai thác, chia sẻ dữ liệu và cung cấp </w:t>
            </w:r>
            <w:r w:rsidRPr="00214EA3">
              <w:rPr>
                <w:rFonts w:ascii="Times New Roman" w:eastAsia="Times New Roman" w:hAnsi="Times New Roman" w:cs="Times New Roman"/>
                <w:color w:val="000000" w:themeColor="text1"/>
                <w:sz w:val="26"/>
                <w:szCs w:val="26"/>
              </w:rPr>
              <w:lastRenderedPageBreak/>
              <w:t>dịch vụ số thống nhất</w:t>
            </w:r>
          </w:p>
        </w:tc>
        <w:tc>
          <w:tcPr>
            <w:tcW w:w="4395" w:type="dxa"/>
          </w:tcPr>
          <w:p w14:paraId="7F62413A"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xml:space="preserve">- Văn kiện Đại hội đại biểu toàn quốc lần thứ XIV của Đảng xác định 03 đột phá chiến lược, trong đó đột phá thứ ba là về hạ tầng đồng bộ, hiện đại: Ưu tiên hạ tầng giao thông chiến lược, hạ tầng năng lượng, hạ tầng đô thị, hạ tầng viễn thông, đặc biệt là hạ tầng số, hạ tầng dữ liệu; phát triển hạ tầng thích ứng biến đổi khí hậu; mở rộng không gian phát triển theo quy hoạch tổng thể quốc gia, bảo đảm </w:t>
            </w:r>
            <w:r w:rsidRPr="00214EA3">
              <w:rPr>
                <w:rFonts w:ascii="Times New Roman" w:eastAsia="Times New Roman" w:hAnsi="Times New Roman" w:cs="Times New Roman"/>
                <w:color w:val="000000" w:themeColor="text1"/>
                <w:sz w:val="26"/>
                <w:szCs w:val="26"/>
              </w:rPr>
              <w:lastRenderedPageBreak/>
              <w:t>liên kết vùng, liên kết địa phương, kết nối khu vực và toàn cầu.</w:t>
            </w:r>
          </w:p>
          <w:p w14:paraId="776D4E0B"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Nghị quyết số 57-NQ/TW ngày 22/12/2024 của Bộ Chính trị về đột phá phát triển khoa học, công nghệ, đổi mới sáng tạo và chuyển đổi số quốc gia xác định đây là yếu tố quyết định sự phát triển của đất nước; đề ra mục tiêu đến năm 2030, quản lý nhà nước từ Trung ương đến địa phương trên môi trường số, kết nối và vận hành thông suốt giữa các cơ quan trong hệ thống chính trị.</w:t>
            </w:r>
          </w:p>
          <w:p w14:paraId="3758057E"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Quyết định số 06/QĐ-TTg ngày 06/01/2022 của Thủ tướng Chính phủ phê duyệt Đề án phát triển ứng dụng dữ liệu về dân cư, định danh và xác thực điện tử phục vụ chuyển đổi số quốc gia giai đoạn 2022-2025, tầm nhìn đến năm 2030, đặt mục tiêu: "</w:t>
            </w:r>
            <w:r w:rsidRPr="00214EA3">
              <w:rPr>
                <w:rFonts w:ascii="Times New Roman" w:eastAsia="Times New Roman" w:hAnsi="Times New Roman" w:cs="Times New Roman"/>
                <w:i/>
                <w:iCs/>
                <w:color w:val="000000" w:themeColor="text1"/>
                <w:sz w:val="26"/>
                <w:szCs w:val="26"/>
              </w:rPr>
              <w:t>Ứng dụng Cơ sở dữ liệu quốc gia về dân cư, hệ thống định danh và xác thực điện tử, thẻ Căn cước công dân gắn chip điện tử trong công cuộc chuyển đổi số quốc gia</w:t>
            </w:r>
            <w:r w:rsidRPr="00214EA3">
              <w:rPr>
                <w:rFonts w:ascii="Times New Roman" w:eastAsia="Times New Roman" w:hAnsi="Times New Roman" w:cs="Times New Roman"/>
                <w:color w:val="000000" w:themeColor="text1"/>
                <w:sz w:val="26"/>
                <w:szCs w:val="26"/>
              </w:rPr>
              <w:t>".</w:t>
            </w:r>
          </w:p>
          <w:p w14:paraId="68B9DC3A"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xml:space="preserve">- Nghị quyết số 125/NQ-CP ngày 10/5/2026 của Chính phủ về việc bổ sung dự án Luật Định danh và xác thực điện tử vào Chương trình lập pháp năm 2026, giao Bộ Công an chịu trách nhiệm </w:t>
            </w:r>
            <w:r w:rsidRPr="00214EA3">
              <w:rPr>
                <w:rFonts w:ascii="Times New Roman" w:eastAsia="Times New Roman" w:hAnsi="Times New Roman" w:cs="Times New Roman"/>
                <w:color w:val="000000" w:themeColor="text1"/>
                <w:sz w:val="26"/>
                <w:szCs w:val="26"/>
              </w:rPr>
              <w:lastRenderedPageBreak/>
              <w:t>toàn diện về nội dung Dự án Luật; phối hợp với các bộ, ngành, cơ quan liên quan trong quá trình xây dựng, bảo đảm chất lượng văn bản và tiến độ trình Quốc hội theo quy định.</w:t>
            </w:r>
          </w:p>
          <w:p w14:paraId="46D7723D" w14:textId="2CF867C5" w:rsidR="00282DF7" w:rsidRPr="00214EA3" w:rsidRDefault="00282DF7" w:rsidP="00A131CE">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Kết luận số 195-KL/TW ngày 26/9/2025 của Bộ Chính trị, Ban Bí thư về tình hình, kết quả hoạt động của bộ máy hệ thống chính trị và chính quyền địa phương hai cấp. Chính sách được rà soát nhằm bảo đảm phù hợp với mô hình tổ chức, phân công, phân cấp, phân quyền và cơ chế phối hợp giữa các cơ quan trong hệ thống chính trị, chính quyền địa phương hai cấp khi triển khai hoạt động định danh, xác thực điện tử, kết nối, chia sẻ dữ liệu và cung cấp dịch vụ công trên môi trường số.</w:t>
            </w:r>
          </w:p>
        </w:tc>
        <w:tc>
          <w:tcPr>
            <w:tcW w:w="3827" w:type="dxa"/>
          </w:tcPr>
          <w:p w14:paraId="38D99C4E" w14:textId="0DF10FE9" w:rsidR="00A57BDF"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Điểm 2.1 phù hợp với định hướng của Đảng tại Văn kiện ĐH XIV về hạ tầng dữ liệu, Nghị quyết 57-NQ/TW về liên thông, đồng bộ trong toàn hệ thống chính trị, và Đề án 06 đặt nền móng cho Cơ sở dữ liệu quốc gia về định danh và xác thực điện tử.</w:t>
            </w:r>
          </w:p>
          <w:p w14:paraId="713343A1" w14:textId="77777777" w:rsidR="00DD2E54" w:rsidRPr="00214EA3" w:rsidRDefault="00DD2E54" w:rsidP="00A131CE">
            <w:pPr>
              <w:spacing w:before="60" w:after="60" w:line="240" w:lineRule="auto"/>
              <w:jc w:val="both"/>
              <w:rPr>
                <w:rFonts w:ascii="Times New Roman" w:eastAsia="Times New Roman" w:hAnsi="Times New Roman" w:cs="Times New Roman"/>
                <w:color w:val="000000" w:themeColor="text1"/>
              </w:rPr>
            </w:pPr>
          </w:p>
          <w:p w14:paraId="56B65B4B" w14:textId="1620006E"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Việc luật hóa CSDL quốc gia về ĐDXTĐT với cơ chế liên thông, đồng bộ của các CSDL chuyên ngành với CSDL quốc gia về ĐDXTĐT là sự kế thừa và phát triển trực tiếp của Đề án 06; khắc phục tình trạng phân tán, thiếu liên thông trong khai thác dữ liệu giữa các bộ, ngành.</w:t>
            </w:r>
          </w:p>
        </w:tc>
        <w:tc>
          <w:tcPr>
            <w:tcW w:w="4111" w:type="dxa"/>
          </w:tcPr>
          <w:p w14:paraId="10F986A6" w14:textId="73FC17B6" w:rsidR="00A57BDF"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Đề xuất luật hóa nội dung Cơ sở dữ liệu quốc gia về định danh và xác thực điện tử, cụ thể: "Xây dựng Cơ sở dữ liệu quốc gia về định danh và xác thực điện tử và phát triển ứng dụng định danh quốc gia VNeID", trong đó các CSDL chuyên ngành bảo đảm cơ chế liên thông, đồng bộ với CSDL quốc gia về ĐDXTĐT.</w:t>
            </w:r>
          </w:p>
          <w:p w14:paraId="21466F4A" w14:textId="77777777" w:rsidR="00DD2E54" w:rsidRPr="00214EA3" w:rsidRDefault="00DD2E54" w:rsidP="00A131CE">
            <w:pPr>
              <w:spacing w:before="60" w:after="60" w:line="240" w:lineRule="auto"/>
              <w:jc w:val="both"/>
              <w:rPr>
                <w:rFonts w:ascii="Times New Roman" w:eastAsia="Times New Roman" w:hAnsi="Times New Roman" w:cs="Times New Roman"/>
                <w:color w:val="000000" w:themeColor="text1"/>
              </w:rPr>
            </w:pPr>
          </w:p>
          <w:p w14:paraId="26281D36" w14:textId="2926988E" w:rsidR="00DD2E54" w:rsidRPr="00214EA3" w:rsidRDefault="00B87CAC"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3F0A90" w:rsidRPr="00214EA3">
              <w:rPr>
                <w:rFonts w:ascii="Times New Roman" w:eastAsia="Times New Roman" w:hAnsi="Times New Roman" w:cs="Times New Roman"/>
                <w:color w:val="000000" w:themeColor="text1"/>
                <w:sz w:val="26"/>
                <w:szCs w:val="26"/>
              </w:rPr>
              <w:t xml:space="preserve"> này hình thành một hệ sinh thái định danh và xác thực thống nhất, dữ liệu được tập trung, chuẩn hóa và khai thác đồng bộ; khắc phục tình trạng phân tán ứng dụng, giảm trùng lặp đầu tư; bảo đảm nguyên tắc tập trung, thống nhất trong quản trị dữ liệu quốc gia.</w:t>
            </w:r>
          </w:p>
        </w:tc>
      </w:tr>
      <w:tr w:rsidR="00214EA3" w:rsidRPr="00214EA3" w14:paraId="6C38E8CF" w14:textId="77777777" w:rsidTr="00A131CE">
        <w:tc>
          <w:tcPr>
            <w:tcW w:w="2263" w:type="dxa"/>
            <w:vMerge/>
          </w:tcPr>
          <w:p w14:paraId="4017B254" w14:textId="77777777" w:rsidR="00DD2E54" w:rsidRPr="00214EA3" w:rsidRDefault="00DD2E54" w:rsidP="00A131CE">
            <w:pPr>
              <w:widowControl w:val="0"/>
              <w:spacing w:before="60" w:after="60" w:line="240" w:lineRule="auto"/>
              <w:rPr>
                <w:rFonts w:ascii="Times New Roman" w:eastAsia="Times New Roman" w:hAnsi="Times New Roman" w:cs="Times New Roman"/>
                <w:color w:val="000000" w:themeColor="text1"/>
              </w:rPr>
            </w:pPr>
          </w:p>
        </w:tc>
        <w:tc>
          <w:tcPr>
            <w:tcW w:w="4395" w:type="dxa"/>
          </w:tcPr>
          <w:p w14:paraId="68210E10"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Quyết định số 06/QĐ-TTg ngày 06/01/2022 của Thủ tướng Chính phủ phê duyệt Đề án phát triển ứng dụng dữ liệu về dân cư, định danh và xác thực điện tử phục vụ chuyển đổi số quốc gia giai đoạn 2022-2025, tầm nhìn đến năm 2030, đặt mục tiêu triển khai 05 nhóm tiện ích cốt lõi và phát triển ứng dụng VNeID làm nền tảng định danh quốc gia.</w:t>
            </w:r>
          </w:p>
          <w:p w14:paraId="56DD1804" w14:textId="77777777" w:rsidR="00DD2E54" w:rsidRPr="00214EA3" w:rsidRDefault="0075365F" w:rsidP="00BB3193">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Nghị quyết số 125/NQ-CP ngày 10/5/2026 của Chính phủ về việc bổ sung dự án Luật Định danh và xác thực điện tử vào Chương trình lập pháp năm 2026, giao Bộ Công an chịu trách nhiệm toàn diện về nội dung Dự án Luật; phối hợp với các bộ, ngành, cơ quan liên quan trong quá trình xây dựng, bảo đảm chất lượng văn bản và tiến độ trình Quốc hội theo quy định.</w:t>
            </w:r>
          </w:p>
          <w:p w14:paraId="57257BF0" w14:textId="4575B2C4" w:rsidR="00734A5F" w:rsidRPr="00214EA3" w:rsidRDefault="00734A5F" w:rsidP="00A131CE">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xml:space="preserve">- Quyết định số 940/QĐ-TTg ngày 26/5/2026 của Thủ tướng Chính phủ về việc phê duyệt Đề án “Phát triển ứng dụng định danh quốc gia VNeID giai đoạn 2026 - 2030, tầm nhìn đến năm 2045” giao Bộ Công an tham mưu Chính phủ trình Quốc hội xem xét, ban hành Luật Định danh và xác thực điện </w:t>
            </w:r>
            <w:r w:rsidR="00AD395C">
              <w:rPr>
                <w:rFonts w:ascii="Times New Roman" w:eastAsia="Times New Roman" w:hAnsi="Times New Roman" w:cs="Times New Roman"/>
                <w:color w:val="000000" w:themeColor="text1"/>
                <w:sz w:val="26"/>
                <w:szCs w:val="26"/>
              </w:rPr>
              <w:t>tử</w:t>
            </w:r>
            <w:r w:rsidRPr="00214EA3">
              <w:rPr>
                <w:rFonts w:ascii="Times New Roman" w:eastAsia="Times New Roman" w:hAnsi="Times New Roman" w:cs="Times New Roman"/>
                <w:color w:val="000000" w:themeColor="text1"/>
                <w:sz w:val="26"/>
                <w:szCs w:val="26"/>
              </w:rPr>
              <w:t xml:space="preserve"> trong năm 2026 và các văn bản hướng dẫn thi hành... nhằm xác định rõ phạm vi, giá trị pháp lý, điều kiện sử dụng, các quy chuẩn, tiêu chuẩn kỹ thuật có liên quan và trách nhiệm pháp lý của các chủ thể khi sử dụng VNeID trong các quan hệ hành chính, dân sự, thương mại và các giao dịch điện tử khác.</w:t>
            </w:r>
          </w:p>
        </w:tc>
        <w:tc>
          <w:tcPr>
            <w:tcW w:w="3827" w:type="dxa"/>
          </w:tcPr>
          <w:p w14:paraId="54109741" w14:textId="667F60BA" w:rsidR="00DD2E54" w:rsidRPr="00214EA3" w:rsidRDefault="0075365F" w:rsidP="00BB3193">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Điểm 2.2 phù hợp với Quyết định 06/QĐ-TTg (Đề án 06) đặt nền móng cho ứng dụng VNeID, và là sự kế thừa, phát triển trực tiếp của Đề án 06 lên cấp Luật.</w:t>
            </w:r>
          </w:p>
          <w:p w14:paraId="7AC68984" w14:textId="77777777" w:rsidR="00A57BDF" w:rsidRPr="00214EA3" w:rsidRDefault="00A57BDF" w:rsidP="00A131CE">
            <w:pPr>
              <w:spacing w:before="60" w:after="60" w:line="240" w:lineRule="auto"/>
              <w:jc w:val="both"/>
              <w:rPr>
                <w:rFonts w:ascii="Times New Roman" w:eastAsia="Times New Roman" w:hAnsi="Times New Roman" w:cs="Times New Roman"/>
                <w:color w:val="000000" w:themeColor="text1"/>
              </w:rPr>
            </w:pPr>
          </w:p>
          <w:p w14:paraId="36CB777A" w14:textId="48B747BE"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Việc </w:t>
            </w:r>
            <w:r w:rsidR="0013430A" w:rsidRPr="00214EA3">
              <w:rPr>
                <w:rFonts w:ascii="Times New Roman" w:eastAsia="Times New Roman" w:hAnsi="Times New Roman" w:cs="Times New Roman"/>
                <w:color w:val="000000" w:themeColor="text1"/>
                <w:sz w:val="26"/>
                <w:szCs w:val="26"/>
              </w:rPr>
              <w:t xml:space="preserve">luật hoá quy định về </w:t>
            </w:r>
            <w:r w:rsidRPr="00214EA3">
              <w:rPr>
                <w:rFonts w:ascii="Times New Roman" w:eastAsia="Times New Roman" w:hAnsi="Times New Roman" w:cs="Times New Roman"/>
                <w:color w:val="000000" w:themeColor="text1"/>
                <w:sz w:val="26"/>
                <w:szCs w:val="26"/>
              </w:rPr>
              <w:t xml:space="preserve">VNeID từ cấp Quyết định của Thủ tướng Chính phủ lên cấp Luật bảo đảm </w:t>
            </w:r>
            <w:r w:rsidRPr="00214EA3">
              <w:rPr>
                <w:rFonts w:ascii="Times New Roman" w:eastAsia="Times New Roman" w:hAnsi="Times New Roman" w:cs="Times New Roman"/>
                <w:color w:val="000000" w:themeColor="text1"/>
                <w:sz w:val="26"/>
                <w:szCs w:val="26"/>
              </w:rPr>
              <w:lastRenderedPageBreak/>
              <w:t>tính ổn định và pháp lý cao hơn cho hạ tầng định danh quốc gia.</w:t>
            </w:r>
          </w:p>
        </w:tc>
        <w:tc>
          <w:tcPr>
            <w:tcW w:w="4111" w:type="dxa"/>
          </w:tcPr>
          <w:p w14:paraId="6D9CE80B" w14:textId="3A481ACB" w:rsidR="00A57BDF"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xml:space="preserve">Đề xuất luật hóa ứng dụng VNeID với 06 nhóm chức năng cốt lõi: (1) Truy cập và quản lý dữ liệu; (2) Cấp chữ ký số và phương thức xác thực khác phục vụ dịch vụ công, chuyển đổi số; (3) Cung cấp dịch vụ công; (4) Tích hợp nền tảng thanh toán quốc gia phục vụ an sinh xã hội; (5) Thiết lập kênh giao </w:t>
            </w:r>
            <w:r w:rsidRPr="00214EA3">
              <w:rPr>
                <w:rFonts w:ascii="Times New Roman" w:eastAsia="Times New Roman" w:hAnsi="Times New Roman" w:cs="Times New Roman"/>
                <w:color w:val="000000" w:themeColor="text1"/>
                <w:sz w:val="26"/>
                <w:szCs w:val="26"/>
              </w:rPr>
              <w:lastRenderedPageBreak/>
              <w:t>tiếp số Nhà nước và công dân; (6) Ghi nhận mức độ tham gia chuyển đổi số.</w:t>
            </w:r>
          </w:p>
          <w:p w14:paraId="187471CE" w14:textId="77777777" w:rsidR="00DD2E54" w:rsidRPr="00214EA3" w:rsidRDefault="00DD2E54" w:rsidP="00A131CE">
            <w:pPr>
              <w:spacing w:before="60" w:after="60" w:line="240" w:lineRule="auto"/>
              <w:jc w:val="both"/>
              <w:rPr>
                <w:rFonts w:ascii="Times New Roman" w:eastAsia="Times New Roman" w:hAnsi="Times New Roman" w:cs="Times New Roman"/>
                <w:color w:val="000000" w:themeColor="text1"/>
              </w:rPr>
            </w:pPr>
          </w:p>
          <w:p w14:paraId="463EA47B" w14:textId="7B389E42" w:rsidR="00DD2E54" w:rsidRPr="00214EA3" w:rsidRDefault="00B87CAC"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3F0A90" w:rsidRPr="00214EA3">
              <w:rPr>
                <w:rFonts w:ascii="Times New Roman" w:eastAsia="Times New Roman" w:hAnsi="Times New Roman" w:cs="Times New Roman"/>
                <w:color w:val="000000" w:themeColor="text1"/>
                <w:sz w:val="26"/>
                <w:szCs w:val="26"/>
              </w:rPr>
              <w:t xml:space="preserve"> này tạo bước chuyển quan trọng trong quản trị công, cho phép chi trả trực tiếp từ ngân sách đến người thụ hưởng, giảm khâu trung gian; tiết kiệm chi phí giấy tờ; tạo điều kiện chuyển toàn bộ ngân sách an sinh xã hội sang phương thức điện tử.</w:t>
            </w:r>
          </w:p>
        </w:tc>
      </w:tr>
      <w:tr w:rsidR="00214EA3" w:rsidRPr="00214EA3" w14:paraId="05655CD4" w14:textId="77777777" w:rsidTr="00A131CE">
        <w:tc>
          <w:tcPr>
            <w:tcW w:w="2263" w:type="dxa"/>
            <w:vMerge/>
          </w:tcPr>
          <w:p w14:paraId="5E483D24" w14:textId="77777777" w:rsidR="00DD2E54" w:rsidRPr="00214EA3" w:rsidRDefault="00DD2E54" w:rsidP="00A131CE">
            <w:pPr>
              <w:widowControl w:val="0"/>
              <w:spacing w:before="60" w:after="60" w:line="240" w:lineRule="auto"/>
              <w:rPr>
                <w:rFonts w:ascii="Times New Roman" w:eastAsia="Times New Roman" w:hAnsi="Times New Roman" w:cs="Times New Roman"/>
                <w:color w:val="000000" w:themeColor="text1"/>
              </w:rPr>
            </w:pPr>
          </w:p>
        </w:tc>
        <w:tc>
          <w:tcPr>
            <w:tcW w:w="4395" w:type="dxa"/>
          </w:tcPr>
          <w:p w14:paraId="145E7628"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Chỉ thị số 57-CT/TW ngày 31/12/2025 của Ban Bí thư về tăng cường bảo đảm an ninh mạng, bảo mật thông tin, an ninh dữ liệu trong hệ thống chính trị; theo định hướng phát triển hệ sinh thái sản phẩm, dịch vụ an ninh mạng Việt Nam, ưu tiên hàng đầu cho việc làm chủ các công nghệ lõi, giải pháp bảo mật tiên tiến và ứng dụng mạnh mẽ trí tuệ nhân tạo (AI) theo tinh thần Make in Vietnam.</w:t>
            </w:r>
          </w:p>
          <w:p w14:paraId="06E79B7A"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quyết số 57-NQ/TW ngày 22/12/2024 của Bộ Chính trị về đột phá phát triển khoa học, công nghệ, đổi mới sáng tạo và chuyển đổi số quốc gia xác định chủ quyền dữ liệu là yếu tố quyết định sự phát triển của đất nước, còn dữ liệu là tư liệu sản xuất mới.</w:t>
            </w:r>
          </w:p>
          <w:p w14:paraId="7E443A9C"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quyết số 52-NQ/TW ngày 27/9/2019 của Bộ Chính trị theo định hướng hoàn thiện pháp luật, chính sách về dữ liệu, quản trị dữ liệu, tạo thuận lợi cho việc tạo dựng, kết nối, chia sẻ và khai thác dữ liệu bảo đảm an toàn, an ninh mạng trong nước.</w:t>
            </w:r>
          </w:p>
        </w:tc>
        <w:tc>
          <w:tcPr>
            <w:tcW w:w="3827" w:type="dxa"/>
          </w:tcPr>
          <w:p w14:paraId="6CABF62C" w14:textId="461C32E0" w:rsidR="00A57BDF"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Điểm 2.3 phù hợp với Chỉ thị 57-CT/TW về tăng cường an ninh mạng, bảo mật thông tin, an ninh dữ liệu trong hệ thống chính trị; Văn kiện ĐH XIV và Nghị quyết 57-NQ/TW theo tinh thần làm chủ công nghệ lõi; Nghị quyết 52-NQ/TW theo định hướng an toàn, an ninh mạng.</w:t>
            </w:r>
          </w:p>
          <w:p w14:paraId="23768AAA" w14:textId="77777777" w:rsidR="00DD2E54" w:rsidRPr="00214EA3" w:rsidRDefault="00DD2E54" w:rsidP="00A131CE">
            <w:pPr>
              <w:spacing w:before="60" w:after="60" w:line="240" w:lineRule="auto"/>
              <w:jc w:val="both"/>
              <w:rPr>
                <w:rFonts w:ascii="Times New Roman" w:eastAsia="Times New Roman" w:hAnsi="Times New Roman" w:cs="Times New Roman"/>
                <w:color w:val="000000" w:themeColor="text1"/>
              </w:rPr>
            </w:pPr>
          </w:p>
          <w:p w14:paraId="15B265CA" w14:textId="5003D8FA"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Việc luật hóa nguyên tắc chủ quyền công nghệ, chủ quyền dữ liệu trong hệ thống ĐDXTĐT là sự cụ thể hóa các chủ trương trên về làm chủ công nghệ lõi và bảo đảm chủ quyền số quốc gia.</w:t>
            </w:r>
          </w:p>
        </w:tc>
        <w:tc>
          <w:tcPr>
            <w:tcW w:w="4111" w:type="dxa"/>
          </w:tcPr>
          <w:p w14:paraId="2B97A74C" w14:textId="42D8A09A" w:rsidR="00A57BDF"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Đề xuất luật hóa nguyên tắc chủ quyền công nghệ, chủ quyền dữ liệu trong hệ thống ĐDXTĐT trên nền tảng công nghệ tự chủ; yêu cầu lưu trữ dữ liệu tại Việt Nam đối với các đối tượng cốt lõi, dữ liệu quan trọng quốc gia.</w:t>
            </w:r>
          </w:p>
          <w:p w14:paraId="75E29012" w14:textId="77777777" w:rsidR="00DD2E54" w:rsidRPr="00214EA3" w:rsidRDefault="00DD2E54" w:rsidP="00A131CE">
            <w:pPr>
              <w:spacing w:before="60" w:after="60" w:line="240" w:lineRule="auto"/>
              <w:jc w:val="both"/>
              <w:rPr>
                <w:rFonts w:ascii="Times New Roman" w:eastAsia="Times New Roman" w:hAnsi="Times New Roman" w:cs="Times New Roman"/>
                <w:color w:val="000000" w:themeColor="text1"/>
              </w:rPr>
            </w:pPr>
          </w:p>
          <w:p w14:paraId="0FBDF4CF" w14:textId="0B961D00" w:rsidR="00DD2E54" w:rsidRPr="00214EA3" w:rsidRDefault="00B87CAC"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3F0A90" w:rsidRPr="00214EA3">
              <w:rPr>
                <w:rFonts w:ascii="Times New Roman" w:eastAsia="Times New Roman" w:hAnsi="Times New Roman" w:cs="Times New Roman"/>
                <w:color w:val="000000" w:themeColor="text1"/>
                <w:sz w:val="26"/>
                <w:szCs w:val="26"/>
              </w:rPr>
              <w:t xml:space="preserve"> này nâng cao mức độ an toàn, giảm nguy cơ bị khai thác từ các hoạt động thương mại bên ngoài, qua đó nâng cao khả năng phòng thủ trước các nguy cơ tấn công mạng và bảo đảm an ninh dữ liệu công dân.</w:t>
            </w:r>
          </w:p>
        </w:tc>
      </w:tr>
      <w:tr w:rsidR="00214EA3" w:rsidRPr="00214EA3" w14:paraId="235A519A" w14:textId="77777777" w:rsidTr="00A131CE">
        <w:tc>
          <w:tcPr>
            <w:tcW w:w="2263" w:type="dxa"/>
          </w:tcPr>
          <w:p w14:paraId="26BED363" w14:textId="7C7EC05D"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b/>
                <w:bCs/>
                <w:color w:val="000000" w:themeColor="text1"/>
                <w:sz w:val="26"/>
                <w:szCs w:val="26"/>
              </w:rPr>
              <w:lastRenderedPageBreak/>
              <w:t xml:space="preserve">CHÍNH SÁCH 3: </w:t>
            </w:r>
            <w:r w:rsidRPr="00214EA3">
              <w:rPr>
                <w:rFonts w:ascii="Times New Roman" w:eastAsia="Times New Roman" w:hAnsi="Times New Roman" w:cs="Times New Roman"/>
                <w:color w:val="000000" w:themeColor="text1"/>
                <w:sz w:val="26"/>
                <w:szCs w:val="26"/>
              </w:rPr>
              <w:t xml:space="preserve">Phát triển dịch vụ định danh, xác thực </w:t>
            </w:r>
            <w:r w:rsidRPr="00214EA3">
              <w:rPr>
                <w:rFonts w:ascii="Times New Roman" w:eastAsia="Times New Roman" w:hAnsi="Times New Roman" w:cs="Times New Roman"/>
                <w:color w:val="000000" w:themeColor="text1"/>
                <w:sz w:val="26"/>
                <w:szCs w:val="26"/>
              </w:rPr>
              <w:lastRenderedPageBreak/>
              <w:t xml:space="preserve">điện tử theo mô hình Nhà nước thiết lập nền tảng, điều </w:t>
            </w:r>
            <w:r w:rsidR="00BF781D" w:rsidRPr="00214EA3">
              <w:rPr>
                <w:rFonts w:ascii="Times New Roman" w:eastAsia="Times New Roman" w:hAnsi="Times New Roman" w:cs="Times New Roman"/>
                <w:color w:val="000000" w:themeColor="text1"/>
                <w:sz w:val="26"/>
                <w:szCs w:val="26"/>
              </w:rPr>
              <w:t>phối liên thông,</w:t>
            </w:r>
            <w:r w:rsidRPr="00214EA3">
              <w:rPr>
                <w:rFonts w:ascii="Times New Roman" w:eastAsia="Times New Roman" w:hAnsi="Times New Roman" w:cs="Times New Roman"/>
                <w:color w:val="000000" w:themeColor="text1"/>
                <w:sz w:val="26"/>
                <w:szCs w:val="26"/>
              </w:rPr>
              <w:t xml:space="preserve"> tổ chức, doanh n</w:t>
            </w:r>
            <w:r w:rsidR="00BF781D" w:rsidRPr="00214EA3">
              <w:rPr>
                <w:rFonts w:ascii="Times New Roman" w:eastAsia="Times New Roman" w:hAnsi="Times New Roman" w:cs="Times New Roman"/>
                <w:color w:val="000000" w:themeColor="text1"/>
                <w:sz w:val="26"/>
                <w:szCs w:val="26"/>
              </w:rPr>
              <w:t>ghiệp tham gia cung cấp dịch vụ,</w:t>
            </w:r>
            <w:r w:rsidRPr="00214EA3">
              <w:rPr>
                <w:rFonts w:ascii="Times New Roman" w:eastAsia="Times New Roman" w:hAnsi="Times New Roman" w:cs="Times New Roman"/>
                <w:color w:val="000000" w:themeColor="text1"/>
                <w:sz w:val="26"/>
                <w:szCs w:val="26"/>
              </w:rPr>
              <w:t xml:space="preserve"> và công nhận hợp tác quốc tế</w:t>
            </w:r>
          </w:p>
        </w:tc>
        <w:tc>
          <w:tcPr>
            <w:tcW w:w="4395" w:type="dxa"/>
          </w:tcPr>
          <w:p w14:paraId="01C041AE"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xml:space="preserve">- Văn kiện Đại hội đại biểu toàn quốc lần thứ XIV của Đảng theo định hướng phát triển kinh tế tư nhân là một động lực </w:t>
            </w:r>
            <w:r w:rsidRPr="00214EA3">
              <w:rPr>
                <w:rFonts w:ascii="Times New Roman" w:eastAsia="Times New Roman" w:hAnsi="Times New Roman" w:cs="Times New Roman"/>
                <w:color w:val="000000" w:themeColor="text1"/>
                <w:sz w:val="26"/>
                <w:szCs w:val="26"/>
              </w:rPr>
              <w:lastRenderedPageBreak/>
              <w:t>quan trọng của nền kinh tế; khuyến khích sự tham gia của doanh nghiệp công nghệ trong nước phát triển các sản phẩm, dịch vụ số mang thương hiệu Việt Nam; bảo đảm tính cạnh tranh lành mạnh và đối xử bình đẳng giữa các thành phần kinh tế.</w:t>
            </w:r>
          </w:p>
          <w:p w14:paraId="47A452FA"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quyết số 57-NQ/TW và Nghị quyết 68-NQ/TW khuyến khích đột phá phát triển khoa học, công nghệ, đổi mới sáng tạo và chuyển đổi số quốc gia, khuyến khích kinh tế tư nhân.</w:t>
            </w:r>
          </w:p>
          <w:p w14:paraId="06102575"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quyết số 52-NQ/TW ngày 27/9/2019 của Bộ Chính trị theo định hướng đa dạng hóa các thành phần kinh tế trong phát triển hạ tầng số, hỗ trợ doanh nghiệp khởi nghiệp sáng tạo, tạo môi trường thuận lợi cho các nhà đầu tư trong và ngoài nước góp vốn vào các doanh nghiệp công nghệ; thiết lập cơ chế thử nghiệm các sản phẩm, giải pháp mới trong lĩnh vực công nghệ thông tin - truyền thông.</w:t>
            </w:r>
          </w:p>
        </w:tc>
        <w:tc>
          <w:tcPr>
            <w:tcW w:w="3827" w:type="dxa"/>
          </w:tcPr>
          <w:p w14:paraId="34799B73"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xml:space="preserve">Điểm 3.1 phù hợp với định hướng của Đảng về khuyến khích sự tham gia của khu vực tư nhân (Văn kiện </w:t>
            </w:r>
            <w:r w:rsidRPr="00214EA3">
              <w:rPr>
                <w:rFonts w:ascii="Times New Roman" w:eastAsia="Times New Roman" w:hAnsi="Times New Roman" w:cs="Times New Roman"/>
                <w:color w:val="000000" w:themeColor="text1"/>
                <w:sz w:val="26"/>
                <w:szCs w:val="26"/>
              </w:rPr>
              <w:lastRenderedPageBreak/>
              <w:t>ĐH XIV, Nghị quyết 57-NQ/TW) và chủ động tham gia Cách mạng công nghiệp 4.0 (Nghị quyết 52-NQ/TW).</w:t>
            </w:r>
          </w:p>
          <w:p w14:paraId="384D491E" w14:textId="77777777" w:rsidR="00DD2E54" w:rsidRPr="00214EA3" w:rsidRDefault="00DD2E54" w:rsidP="00A131CE">
            <w:pPr>
              <w:spacing w:before="60" w:after="60" w:line="240" w:lineRule="auto"/>
              <w:rPr>
                <w:rFonts w:ascii="Times New Roman" w:eastAsia="Times New Roman" w:hAnsi="Times New Roman" w:cs="Times New Roman"/>
                <w:color w:val="000000" w:themeColor="text1"/>
              </w:rPr>
            </w:pPr>
          </w:p>
          <w:p w14:paraId="07FAE289"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Việc luật hóa các mô hình định danh và xác thực điện tử đa dạng (gồm mô hình do Nhà nước cung cấp; mô hình ủy quyền cho các tổ chức đủ điều kiện; mô hình xác thực tự chủ không qua trung gian) và cơ chế xã hội hóa dịch vụ là sự cụ thể hóa các chủ trương về phát triển kinh tế thị trường định hướng xã hội chủ nghĩa.</w:t>
            </w:r>
          </w:p>
          <w:p w14:paraId="3ED1650E" w14:textId="77777777" w:rsidR="00DD2E54" w:rsidRPr="00214EA3" w:rsidRDefault="0075365F" w:rsidP="00A131CE">
            <w:pPr>
              <w:shd w:val="clear" w:color="auto" w:fill="FFFFFF"/>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b/>
                <w:bCs/>
                <w:color w:val="000000" w:themeColor="text1"/>
                <w:sz w:val="26"/>
                <w:szCs w:val="26"/>
              </w:rPr>
              <w:t>-Về Luật Giao dịch điện tử:</w:t>
            </w:r>
            <w:r w:rsidRPr="00214EA3">
              <w:rPr>
                <w:rFonts w:ascii="Times New Roman" w:eastAsia="Times New Roman" w:hAnsi="Times New Roman" w:cs="Times New Roman"/>
                <w:color w:val="000000" w:themeColor="text1"/>
                <w:sz w:val="26"/>
                <w:szCs w:val="26"/>
              </w:rPr>
              <w:t xml:space="preserve"> Qua đối chiếu: Chính sách này không quy định lại chữ ký điện tử, dịch vụ tin cậy, giao dịch điện tử (thuộc Luật Giao dịch điện tử năm 2023) mà kế thừa cơ chế công nhận của luật này.</w:t>
            </w:r>
          </w:p>
          <w:p w14:paraId="021EA846" w14:textId="77777777" w:rsidR="00DD2E54" w:rsidRPr="00214EA3" w:rsidRDefault="0075365F" w:rsidP="00A131CE">
            <w:pPr>
              <w:shd w:val="clear" w:color="auto" w:fill="FFFFFF"/>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b/>
                <w:bCs/>
                <w:color w:val="000000" w:themeColor="text1"/>
                <w:sz w:val="26"/>
                <w:szCs w:val="26"/>
              </w:rPr>
              <w:t>-Về Luật Công nghiệp công nghệ số:</w:t>
            </w:r>
            <w:r w:rsidRPr="00214EA3">
              <w:rPr>
                <w:rFonts w:ascii="Times New Roman" w:eastAsia="Times New Roman" w:hAnsi="Times New Roman" w:cs="Times New Roman"/>
                <w:color w:val="000000" w:themeColor="text1"/>
                <w:sz w:val="26"/>
                <w:szCs w:val="26"/>
              </w:rPr>
              <w:t xml:space="preserve"> Qua đối chiếu: không điều chỉnh lại ngành công nghiệp công nghệ số (Luật Công nghiệp công nghệ số năm 2025) mà chỉ bổ sung </w:t>
            </w:r>
            <w:r w:rsidRPr="00214EA3">
              <w:rPr>
                <w:rFonts w:ascii="Times New Roman" w:eastAsia="Times New Roman" w:hAnsi="Times New Roman" w:cs="Times New Roman"/>
                <w:color w:val="000000" w:themeColor="text1"/>
                <w:sz w:val="26"/>
                <w:szCs w:val="26"/>
              </w:rPr>
              <w:lastRenderedPageBreak/>
              <w:t>điều kiện, tiêu chuẩn kỹ thuật chuyên ngành cho dịch vụ định danh, xác thực điện tử.</w:t>
            </w:r>
          </w:p>
          <w:p w14:paraId="6D2A4544" w14:textId="77777777" w:rsidR="00DD2E54" w:rsidRPr="00214EA3" w:rsidRDefault="0075365F" w:rsidP="00A131CE">
            <w:pPr>
              <w:shd w:val="clear" w:color="auto" w:fill="FFFFFF"/>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b/>
                <w:bCs/>
                <w:color w:val="000000" w:themeColor="text1"/>
                <w:sz w:val="26"/>
                <w:szCs w:val="26"/>
              </w:rPr>
              <w:t>-Về Luật Trí tuệ nhân tạo:</w:t>
            </w:r>
            <w:r w:rsidRPr="00214EA3">
              <w:rPr>
                <w:rFonts w:ascii="Times New Roman" w:eastAsia="Times New Roman" w:hAnsi="Times New Roman" w:cs="Times New Roman"/>
                <w:color w:val="000000" w:themeColor="text1"/>
                <w:sz w:val="26"/>
                <w:szCs w:val="26"/>
              </w:rPr>
              <w:t xml:space="preserve"> Qua đối chiếu: chỉ quy định ứng dụng trí tuệ nhân tạo trong định danh, xác thực điện tử theo khung quản lý rủi ro của Luật Trí tuệ nhân tạo năm 2025.</w:t>
            </w:r>
          </w:p>
          <w:p w14:paraId="09B0389F" w14:textId="77777777" w:rsidR="00DD2E54" w:rsidRPr="00214EA3" w:rsidRDefault="0075365F" w:rsidP="00A131CE">
            <w:pPr>
              <w:shd w:val="clear" w:color="auto" w:fill="FFFFFF"/>
              <w:spacing w:before="60" w:after="6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b/>
                <w:bCs/>
                <w:color w:val="000000" w:themeColor="text1"/>
                <w:sz w:val="26"/>
                <w:szCs w:val="26"/>
              </w:rPr>
              <w:t>-Về mô hình Nhà nước:</w:t>
            </w:r>
            <w:r w:rsidRPr="00214EA3">
              <w:rPr>
                <w:rFonts w:ascii="Times New Roman" w:eastAsia="Times New Roman" w:hAnsi="Times New Roman" w:cs="Times New Roman"/>
                <w:color w:val="000000" w:themeColor="text1"/>
                <w:sz w:val="26"/>
                <w:szCs w:val="26"/>
              </w:rPr>
              <w:t xml:space="preserve"> Mô hình Nhà nước do các bộ thực hiện trong phạm vi chức năng nên không làm thay đổi nhiệm vụ quản lý nhà nước của các bộ, ngành.</w:t>
            </w:r>
          </w:p>
        </w:tc>
        <w:tc>
          <w:tcPr>
            <w:tcW w:w="4111" w:type="dxa"/>
          </w:tcPr>
          <w:p w14:paraId="4878D9FE"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xml:space="preserve">Đề xuất luật hóa quy định dịch vụ định danh, xác thực điện tử theo cơ chế xã hội hóa và thúc đẩy liên thông, </w:t>
            </w:r>
            <w:r w:rsidRPr="00214EA3">
              <w:rPr>
                <w:rFonts w:ascii="Times New Roman" w:eastAsia="Times New Roman" w:hAnsi="Times New Roman" w:cs="Times New Roman"/>
                <w:color w:val="000000" w:themeColor="text1"/>
                <w:sz w:val="26"/>
                <w:szCs w:val="26"/>
              </w:rPr>
              <w:lastRenderedPageBreak/>
              <w:t>hợp tác quốc tế, trong đó: (i) cho phép các tổ chức, doanh nghiệp đủ điều kiện tham gia cung cấp dịch vụ trong phân khúc thương mại, dân sự; (ii) đa dạng các mô hình định danh, xác thực điện tử bao gồm cả mô hình tự chủ không qua trung gian; (iii) thiết lập cơ chế thử nghiệm có kiểm soát (sandbox).</w:t>
            </w:r>
          </w:p>
          <w:p w14:paraId="5F4FC1E2" w14:textId="77777777" w:rsidR="00DD2E54" w:rsidRPr="00214EA3" w:rsidRDefault="00DD2E54" w:rsidP="00A131CE">
            <w:pPr>
              <w:spacing w:before="60" w:after="60" w:line="240" w:lineRule="auto"/>
              <w:rPr>
                <w:rFonts w:ascii="Times New Roman" w:eastAsia="Times New Roman" w:hAnsi="Times New Roman" w:cs="Times New Roman"/>
                <w:color w:val="000000" w:themeColor="text1"/>
              </w:rPr>
            </w:pPr>
          </w:p>
          <w:p w14:paraId="11CDE86D" w14:textId="18E32F71" w:rsidR="00DD2E54" w:rsidRPr="00214EA3" w:rsidRDefault="00B87CAC"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3F0A90" w:rsidRPr="00214EA3">
              <w:rPr>
                <w:rFonts w:ascii="Times New Roman" w:eastAsia="Times New Roman" w:hAnsi="Times New Roman" w:cs="Times New Roman"/>
                <w:color w:val="000000" w:themeColor="text1"/>
                <w:sz w:val="26"/>
                <w:szCs w:val="26"/>
              </w:rPr>
              <w:t xml:space="preserve"> này chuyển dịch từ mô hình cung cấp dịch vụ tập trung sang mô hình thị trường có kiểm soát, huy động hiệu quả nguồn lực xã hội, giảm áp lực đầu tư công; cơ chế sandbox cho phép kiểm chứng và triển khai từng bước các công nghệ mới (AI, blockchain) trong môi trường an toàn.</w:t>
            </w:r>
          </w:p>
        </w:tc>
      </w:tr>
      <w:tr w:rsidR="00214EA3" w:rsidRPr="00214EA3" w14:paraId="6E270039" w14:textId="77777777" w:rsidTr="00A131CE">
        <w:tc>
          <w:tcPr>
            <w:tcW w:w="2263" w:type="dxa"/>
          </w:tcPr>
          <w:p w14:paraId="5AF936AB" w14:textId="77777777" w:rsidR="00DD2E54" w:rsidRPr="00214EA3" w:rsidRDefault="00DD2E54" w:rsidP="00A131CE">
            <w:pPr>
              <w:spacing w:before="60" w:after="60" w:line="240" w:lineRule="auto"/>
              <w:jc w:val="both"/>
              <w:rPr>
                <w:rFonts w:ascii="Times New Roman" w:eastAsia="Times New Roman" w:hAnsi="Times New Roman" w:cs="Times New Roman"/>
                <w:color w:val="000000" w:themeColor="text1"/>
                <w:sz w:val="20"/>
                <w:szCs w:val="20"/>
              </w:rPr>
            </w:pPr>
          </w:p>
        </w:tc>
        <w:tc>
          <w:tcPr>
            <w:tcW w:w="4395" w:type="dxa"/>
          </w:tcPr>
          <w:p w14:paraId="25B32107"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Văn kiện Đại hội đại biểu toàn quốc lần thứ XIV của Đảng theo định hướng hội nhập quốc tế sâu rộng, toàn diện, đưa Việt Nam trở thành mắt xích quan trọng trong chuỗi giá trị toàn cầu; chủ động tham gia kinh tế số khu vực và toàn cầu; xây dựng cơ chế hợp tác quốc tế trong các lĩnh vực kinh tế số, dữ liệu xuyên biên giới và an ninh mạng.</w:t>
            </w:r>
          </w:p>
          <w:p w14:paraId="6406DA64"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Nghị quyết số 57-NQ/TW ngày 22/12/2024 của Bộ Chính trị về đột phá phát triển khoa học, công nghệ, đổi mới </w:t>
            </w:r>
            <w:r w:rsidRPr="00214EA3">
              <w:rPr>
                <w:rFonts w:ascii="Times New Roman" w:eastAsia="Times New Roman" w:hAnsi="Times New Roman" w:cs="Times New Roman"/>
                <w:color w:val="000000" w:themeColor="text1"/>
                <w:sz w:val="26"/>
                <w:szCs w:val="26"/>
              </w:rPr>
              <w:lastRenderedPageBreak/>
              <w:t>sáng tạo và chuyển đổi số quốc gia, thúc đẩy hợp tác quốc tế.</w:t>
            </w:r>
          </w:p>
          <w:p w14:paraId="75F507CA"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quyết số 52-NQ/TW ngày 27/9/2019 của Bộ Chính trị theo định hướng: chủ động tham gia vào các khuôn khổ pháp lý khu vực và toàn cầu để phát triển kinh tế số; hoàn thiện pháp luật, chính sách về dữ liệu, quản trị dữ liệu, tạo thuận lợi cho việc tạo dựng, kết nối, chia sẻ và khai thác dữ liệu bảo đảm an toàn, an ninh mạng trong nước, tiến tới kết nối với khu vực ASEAN và quốc tế.</w:t>
            </w:r>
          </w:p>
        </w:tc>
        <w:tc>
          <w:tcPr>
            <w:tcW w:w="3827" w:type="dxa"/>
          </w:tcPr>
          <w:p w14:paraId="5438CBF0"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Điểm 3.2 phù hợp với định hướng của Đảng về hội nhập quốc tế (Văn kiện ĐH XIV, Nghị quyết 57-NQ/TW) và chủ động tham gia khuôn khổ pháp lý khu vực và toàn cầu (Nghị quyết 52-NQ/TW).</w:t>
            </w:r>
          </w:p>
          <w:p w14:paraId="21F4A442" w14:textId="77777777" w:rsidR="00DD2E54" w:rsidRPr="00214EA3" w:rsidRDefault="00DD2E54" w:rsidP="00A131CE">
            <w:pPr>
              <w:spacing w:before="60" w:after="60" w:line="240" w:lineRule="auto"/>
              <w:rPr>
                <w:rFonts w:ascii="Times New Roman" w:eastAsia="Times New Roman" w:hAnsi="Times New Roman" w:cs="Times New Roman"/>
                <w:color w:val="000000" w:themeColor="text1"/>
              </w:rPr>
            </w:pPr>
          </w:p>
          <w:p w14:paraId="414E4B4C"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Việc luật hóa cơ chế liên thông, công nhận lẫn nhau danh tính điện tử là điều kiện cần thiết để Việt Nam tham gia hệ sinh thái danh tính số khu vực ASEAN và toàn </w:t>
            </w:r>
            <w:r w:rsidRPr="00214EA3">
              <w:rPr>
                <w:rFonts w:ascii="Times New Roman" w:eastAsia="Times New Roman" w:hAnsi="Times New Roman" w:cs="Times New Roman"/>
                <w:color w:val="000000" w:themeColor="text1"/>
                <w:sz w:val="26"/>
                <w:szCs w:val="26"/>
              </w:rPr>
              <w:lastRenderedPageBreak/>
              <w:t>cầu, thực hiện các cam kết trong CPTPP, EVFTA, RCEP.</w:t>
            </w:r>
          </w:p>
        </w:tc>
        <w:tc>
          <w:tcPr>
            <w:tcW w:w="4111" w:type="dxa"/>
          </w:tcPr>
          <w:p w14:paraId="66E6F7A9" w14:textId="5E9FBC7E" w:rsidR="003F0A90"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Đề xuất luật hóa cơ chế liên thông và hợp tác quốc tế, công nhận lẫn nhau danh tính điện tử, quy định nguyên tắc công nhận danh tính điện tử và kết quả xác thực của nước ngoài trên cơ sở mức độ tin cậy tương đương; cho phép thực hiện giao dịch điện tử xuyên biên giới gắn với yêu cầu tuân thủ pháp luật của các bên liên quan.</w:t>
            </w:r>
          </w:p>
          <w:p w14:paraId="14BB1A7D" w14:textId="77777777" w:rsidR="00DD2E54" w:rsidRPr="00214EA3" w:rsidRDefault="00DD2E54" w:rsidP="00A131CE">
            <w:pPr>
              <w:spacing w:before="60" w:after="60" w:line="240" w:lineRule="auto"/>
              <w:jc w:val="both"/>
              <w:rPr>
                <w:rFonts w:ascii="Times New Roman" w:eastAsia="Times New Roman" w:hAnsi="Times New Roman" w:cs="Times New Roman"/>
                <w:color w:val="000000" w:themeColor="text1"/>
              </w:rPr>
            </w:pPr>
          </w:p>
          <w:p w14:paraId="68F3DB0A" w14:textId="310F21B0" w:rsidR="00DD2E54" w:rsidRPr="00214EA3" w:rsidRDefault="00B87CAC"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3F0A90" w:rsidRPr="00214EA3">
              <w:rPr>
                <w:rFonts w:ascii="Times New Roman" w:eastAsia="Times New Roman" w:hAnsi="Times New Roman" w:cs="Times New Roman"/>
                <w:color w:val="000000" w:themeColor="text1"/>
                <w:sz w:val="26"/>
                <w:szCs w:val="26"/>
              </w:rPr>
              <w:t xml:space="preserve"> này huy động và mở rộng không gian phát triển kinh tế số xuyên biên giới; giảm chi phí và thời gian </w:t>
            </w:r>
            <w:r w:rsidR="003F0A90" w:rsidRPr="00214EA3">
              <w:rPr>
                <w:rFonts w:ascii="Times New Roman" w:eastAsia="Times New Roman" w:hAnsi="Times New Roman" w:cs="Times New Roman"/>
                <w:color w:val="000000" w:themeColor="text1"/>
                <w:sz w:val="26"/>
                <w:szCs w:val="26"/>
              </w:rPr>
              <w:lastRenderedPageBreak/>
              <w:t>xác minh trong giao dịch quốc tế; nâng cao năng lực thu hút FDI, tương thích với eIDAS 2.0 EU (Quy định 2024/1183) tạo cơ sở cho các thỏa thuận công nhận lẫn nhau (MRA).</w:t>
            </w:r>
          </w:p>
        </w:tc>
      </w:tr>
      <w:tr w:rsidR="00214EA3" w:rsidRPr="00214EA3" w14:paraId="5C2E95E3" w14:textId="77777777" w:rsidTr="00A131CE">
        <w:tc>
          <w:tcPr>
            <w:tcW w:w="2263" w:type="dxa"/>
          </w:tcPr>
          <w:p w14:paraId="694072A1" w14:textId="77777777" w:rsidR="00DD2E54" w:rsidRPr="00214EA3" w:rsidRDefault="00DD2E54" w:rsidP="00A131CE">
            <w:pPr>
              <w:spacing w:before="60" w:after="60" w:line="240" w:lineRule="auto"/>
              <w:jc w:val="both"/>
              <w:rPr>
                <w:rFonts w:ascii="Times New Roman" w:eastAsia="Times New Roman" w:hAnsi="Times New Roman" w:cs="Times New Roman"/>
                <w:color w:val="000000" w:themeColor="text1"/>
                <w:sz w:val="20"/>
                <w:szCs w:val="20"/>
              </w:rPr>
            </w:pPr>
          </w:p>
        </w:tc>
        <w:tc>
          <w:tcPr>
            <w:tcW w:w="4395" w:type="dxa"/>
          </w:tcPr>
          <w:p w14:paraId="687A884A"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quyết số 57-NQ/TW ngày 22/12/2024 của Bộ Chính trị về đột phá phát triển khoa học, công nghệ, đổi mới sáng tạo và chuyển đổi số quốc gia xác định, ứng dụng khoa học công nghệ vào nâng cao năng lực vận hành.</w:t>
            </w:r>
          </w:p>
          <w:p w14:paraId="3FCB7E1D"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Chỉ thị số 57-CT/TW ngày 31/12/2025 của Ban Bí thư theo định hướng phát triển hệ sinh thái sản phẩm, dịch vụ an ninh mạng Việt Nam, ưu tiên hàng đầu cho việc làm chủ các công nghệ lõi, giải pháp bảo mật tiên tiến và ứng dụng mạnh mẽ trí tuệ nhân tạo (AI) theo tinh thần Make in Vietnam.</w:t>
            </w:r>
          </w:p>
          <w:p w14:paraId="7CB1E258"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Văn kiện Đại hội đại biểu toàn quốc lần thứ XIV của Đảng xác định khoa học, công nghệ, đổi mới sáng tạo và chuyển đổi số là động lực trung tâm của phát triển; theo định hướng chuyển từ quản lý bằng mệnh lệnh hành chính sang quản trị phát triển dựa trên pháp luật và dữ liệu.</w:t>
            </w:r>
          </w:p>
        </w:tc>
        <w:tc>
          <w:tcPr>
            <w:tcW w:w="3827" w:type="dxa"/>
          </w:tcPr>
          <w:p w14:paraId="4F453291"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Điểm 3.3 phù hợp với Nghị quyết 57-NQ/TW về phát triển AI là công nghệ chiến lược; Chỉ thị 57-CT/TW về ứng dụng mạnh mẽ trí tuệ nhân tạo trong an ninh mạng; Văn kiện ĐH XIV về AI là động lực trung tâm.</w:t>
            </w:r>
          </w:p>
          <w:p w14:paraId="2CB1D465" w14:textId="77777777" w:rsidR="00DD2E54" w:rsidRPr="00214EA3" w:rsidRDefault="00DD2E54" w:rsidP="00A131CE">
            <w:pPr>
              <w:spacing w:before="60" w:after="60" w:line="240" w:lineRule="auto"/>
              <w:rPr>
                <w:rFonts w:ascii="Times New Roman" w:eastAsia="Times New Roman" w:hAnsi="Times New Roman" w:cs="Times New Roman"/>
                <w:color w:val="000000" w:themeColor="text1"/>
              </w:rPr>
            </w:pPr>
          </w:p>
          <w:p w14:paraId="3D2DF9DD"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Việc luật hóa quy định về AI trong ĐDXTĐT (xác thực sinh trắc học, phát hiện Deepfake, gian lận danh tính) là sự cụ thể hóa các chủ trương về phát triển và ứng dụng AI có trách nhiệm.</w:t>
            </w:r>
          </w:p>
        </w:tc>
        <w:tc>
          <w:tcPr>
            <w:tcW w:w="4111" w:type="dxa"/>
          </w:tcPr>
          <w:p w14:paraId="27D75E97" w14:textId="77777777" w:rsidR="00DD2E54" w:rsidRPr="00214EA3" w:rsidRDefault="0075365F"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Đề xuất luật hóa quy định về sử dụng hệ thống trí tuệ nhân tạo trong định danh và xác thực điện tử tạo điều kiện cho doanh nghiệp công nghệ trong nước triển khai các giải pháp AI phát hiện Deepfake ngay tại lớp dịch vụ; quy định nguyên tắc minh bạch, trách nhiệm giải trình đối với hệ thống AI.</w:t>
            </w:r>
          </w:p>
          <w:p w14:paraId="0C548F64" w14:textId="77777777" w:rsidR="00DD2E54" w:rsidRPr="00214EA3" w:rsidRDefault="00DD2E54" w:rsidP="00A131CE">
            <w:pPr>
              <w:spacing w:before="60" w:after="60" w:line="240" w:lineRule="auto"/>
              <w:rPr>
                <w:rFonts w:ascii="Times New Roman" w:eastAsia="Times New Roman" w:hAnsi="Times New Roman" w:cs="Times New Roman"/>
                <w:color w:val="000000" w:themeColor="text1"/>
              </w:rPr>
            </w:pPr>
          </w:p>
          <w:p w14:paraId="230D9C36" w14:textId="2C8C36B4" w:rsidR="00DD2E54" w:rsidRPr="00214EA3" w:rsidRDefault="00B87CAC" w:rsidP="00A131CE">
            <w:pPr>
              <w:spacing w:before="60" w:after="6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3F0A90" w:rsidRPr="00214EA3">
              <w:rPr>
                <w:rFonts w:ascii="Times New Roman" w:eastAsia="Times New Roman" w:hAnsi="Times New Roman" w:cs="Times New Roman"/>
                <w:color w:val="000000" w:themeColor="text1"/>
                <w:sz w:val="26"/>
                <w:szCs w:val="26"/>
              </w:rPr>
              <w:t xml:space="preserve"> này mở rộng "tuyến phòng thủ" trên không gian mạng ; ứng phó với gian lận Deepfake gia tăng.</w:t>
            </w:r>
          </w:p>
        </w:tc>
      </w:tr>
    </w:tbl>
    <w:p w14:paraId="046D126A" w14:textId="278F103B" w:rsidR="00DD2E54" w:rsidRPr="00214EA3" w:rsidRDefault="00A57BDF" w:rsidP="00A131CE">
      <w:pPr>
        <w:spacing w:before="240" w:after="240" w:line="252"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b/>
          <w:bCs/>
          <w:color w:val="000000" w:themeColor="text1"/>
          <w:sz w:val="26"/>
          <w:szCs w:val="26"/>
        </w:rPr>
        <w:tab/>
      </w:r>
      <w:r w:rsidR="0075365F" w:rsidRPr="00214EA3">
        <w:rPr>
          <w:rFonts w:ascii="Times New Roman" w:eastAsia="Times New Roman" w:hAnsi="Times New Roman" w:cs="Times New Roman"/>
          <w:b/>
          <w:bCs/>
          <w:color w:val="000000" w:themeColor="text1"/>
          <w:sz w:val="26"/>
          <w:szCs w:val="26"/>
        </w:rPr>
        <w:t>2. Văn bản quy phạm pháp luật có liên quan đến chính sách/dự thảo</w:t>
      </w:r>
    </w:p>
    <w:tbl>
      <w:tblPr>
        <w:tblStyle w:val="LiBang"/>
        <w:tblW w:w="14596" w:type="dxa"/>
        <w:tblLayout w:type="fixed"/>
        <w:tblLook w:val="04A0" w:firstRow="1" w:lastRow="0" w:firstColumn="1" w:lastColumn="0" w:noHBand="0" w:noVBand="1"/>
      </w:tblPr>
      <w:tblGrid>
        <w:gridCol w:w="2263"/>
        <w:gridCol w:w="4395"/>
        <w:gridCol w:w="3827"/>
        <w:gridCol w:w="4111"/>
      </w:tblGrid>
      <w:tr w:rsidR="00214EA3" w:rsidRPr="00214EA3" w14:paraId="7B1F1FB4" w14:textId="77777777" w:rsidTr="00A131CE">
        <w:trPr>
          <w:tblHeader/>
        </w:trPr>
        <w:tc>
          <w:tcPr>
            <w:tcW w:w="2263" w:type="dxa"/>
            <w:vAlign w:val="center"/>
          </w:tcPr>
          <w:p w14:paraId="67680CF3" w14:textId="469640CB" w:rsidR="00A57BDF" w:rsidRPr="00214EA3" w:rsidRDefault="00A57BDF" w:rsidP="00A57BDF">
            <w:pPr>
              <w:spacing w:before="120" w:after="120" w:line="240" w:lineRule="auto"/>
              <w:jc w:val="center"/>
              <w:rPr>
                <w:rFonts w:ascii="Times New Roman" w:eastAsia="Times New Roman" w:hAnsi="Times New Roman" w:cs="Times New Roman"/>
                <w:b/>
                <w:bCs/>
                <w:color w:val="000000" w:themeColor="text1"/>
              </w:rPr>
            </w:pPr>
            <w:r w:rsidRPr="00214EA3">
              <w:rPr>
                <w:rFonts w:ascii="Times New Roman" w:eastAsia="Times New Roman" w:hAnsi="Times New Roman" w:cs="Times New Roman"/>
                <w:b/>
                <w:bCs/>
                <w:color w:val="000000" w:themeColor="text1"/>
                <w:sz w:val="26"/>
                <w:szCs w:val="26"/>
              </w:rPr>
              <w:t xml:space="preserve">Tên và nội dung chính sách </w:t>
            </w:r>
          </w:p>
        </w:tc>
        <w:tc>
          <w:tcPr>
            <w:tcW w:w="4395" w:type="dxa"/>
            <w:vAlign w:val="center"/>
          </w:tcPr>
          <w:p w14:paraId="1DC5B912" w14:textId="77777777" w:rsidR="00A57BDF" w:rsidRPr="00214EA3" w:rsidRDefault="00A57BDF" w:rsidP="00A57BDF">
            <w:pPr>
              <w:spacing w:before="120" w:after="120" w:line="240" w:lineRule="auto"/>
              <w:jc w:val="center"/>
              <w:rPr>
                <w:rFonts w:ascii="Times New Roman" w:eastAsia="Times New Roman" w:hAnsi="Times New Roman" w:cs="Times New Roman"/>
                <w:b/>
                <w:bCs/>
                <w:color w:val="000000" w:themeColor="text1"/>
              </w:rPr>
            </w:pPr>
            <w:r w:rsidRPr="00214EA3">
              <w:rPr>
                <w:rFonts w:ascii="Times New Roman" w:eastAsia="Times New Roman" w:hAnsi="Times New Roman" w:cs="Times New Roman"/>
                <w:b/>
                <w:bCs/>
                <w:color w:val="000000" w:themeColor="text1"/>
                <w:sz w:val="26"/>
                <w:szCs w:val="26"/>
              </w:rPr>
              <w:t>Quy định có liên quan của VBQPPL</w:t>
            </w:r>
          </w:p>
        </w:tc>
        <w:tc>
          <w:tcPr>
            <w:tcW w:w="3827" w:type="dxa"/>
            <w:vAlign w:val="center"/>
          </w:tcPr>
          <w:p w14:paraId="4559A581" w14:textId="77777777" w:rsidR="00A57BDF" w:rsidRPr="00214EA3" w:rsidRDefault="00A57BDF" w:rsidP="00A57BDF">
            <w:pPr>
              <w:spacing w:before="120" w:after="120" w:line="240" w:lineRule="auto"/>
              <w:jc w:val="center"/>
              <w:rPr>
                <w:rFonts w:ascii="Times New Roman" w:eastAsia="Times New Roman" w:hAnsi="Times New Roman" w:cs="Times New Roman"/>
                <w:b/>
                <w:bCs/>
                <w:color w:val="000000" w:themeColor="text1"/>
              </w:rPr>
            </w:pPr>
            <w:r w:rsidRPr="00214EA3">
              <w:rPr>
                <w:rFonts w:ascii="Times New Roman" w:eastAsia="Times New Roman" w:hAnsi="Times New Roman" w:cs="Times New Roman"/>
                <w:b/>
                <w:bCs/>
                <w:color w:val="000000" w:themeColor="text1"/>
                <w:sz w:val="26"/>
                <w:szCs w:val="26"/>
              </w:rPr>
              <w:t>Đánh giá tính hợp hiến, hợp pháp, thống nhất, đồng bộ</w:t>
            </w:r>
          </w:p>
        </w:tc>
        <w:tc>
          <w:tcPr>
            <w:tcW w:w="4111" w:type="dxa"/>
            <w:vAlign w:val="center"/>
          </w:tcPr>
          <w:p w14:paraId="1B2F2806" w14:textId="77777777" w:rsidR="00A57BDF" w:rsidRPr="00214EA3" w:rsidRDefault="00A57BDF" w:rsidP="00A57BDF">
            <w:pPr>
              <w:spacing w:before="120" w:after="120" w:line="240" w:lineRule="auto"/>
              <w:jc w:val="center"/>
              <w:rPr>
                <w:rFonts w:ascii="Times New Roman" w:eastAsia="Times New Roman" w:hAnsi="Times New Roman" w:cs="Times New Roman"/>
                <w:b/>
                <w:bCs/>
                <w:color w:val="000000" w:themeColor="text1"/>
              </w:rPr>
            </w:pPr>
            <w:r w:rsidRPr="00214EA3">
              <w:rPr>
                <w:rFonts w:ascii="Times New Roman" w:eastAsia="Times New Roman" w:hAnsi="Times New Roman" w:cs="Times New Roman"/>
                <w:b/>
                <w:bCs/>
                <w:color w:val="000000" w:themeColor="text1"/>
                <w:sz w:val="26"/>
                <w:szCs w:val="26"/>
              </w:rPr>
              <w:t>Đề xuất xử lý</w:t>
            </w:r>
          </w:p>
        </w:tc>
      </w:tr>
      <w:tr w:rsidR="00214EA3" w:rsidRPr="00214EA3" w14:paraId="033BE533" w14:textId="77777777" w:rsidTr="00A131CE">
        <w:tc>
          <w:tcPr>
            <w:tcW w:w="2263" w:type="dxa"/>
          </w:tcPr>
          <w:p w14:paraId="57CBFEAF"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b/>
                <w:bCs/>
                <w:color w:val="000000" w:themeColor="text1"/>
                <w:sz w:val="26"/>
                <w:szCs w:val="26"/>
              </w:rPr>
              <w:t xml:space="preserve">CHÍNH SÁCH 1: </w:t>
            </w:r>
            <w:r w:rsidRPr="00214EA3">
              <w:rPr>
                <w:rFonts w:ascii="Times New Roman" w:eastAsia="Times New Roman" w:hAnsi="Times New Roman" w:cs="Times New Roman"/>
                <w:color w:val="000000" w:themeColor="text1"/>
                <w:sz w:val="26"/>
                <w:szCs w:val="26"/>
              </w:rPr>
              <w:t>Thiết lập cơ chế cấp mã định danh và xác thực điện tử thống nhất, duy nhất cho chủ thể, đối tượng, không gian, dữ liệu và quá trình giao dịch trong quản lý nhà nước, kinh tế - xã hội số</w:t>
            </w:r>
          </w:p>
        </w:tc>
        <w:tc>
          <w:tcPr>
            <w:tcW w:w="4395" w:type="dxa"/>
          </w:tcPr>
          <w:p w14:paraId="47F66121"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Hiến pháp năm 2013 (sửa đổi bởi Nghị quyết số 203/2025/QH15): Điều 14 quy định Nhà nước công nhận, tôn trọng, bảo vệ và bảo đảm quyền con người, quyền công dân về chính trị, dân sự, kinh tế, văn hóa, xã hội; quyền con người, quyền công dân chỉ có thể bị hạn chế theo quy định của luật trong trường hợp cần thiết vì lý do quốc phòng, an ninh quốc gia, trật tự, an toàn xã hội, đạo đức xã hội, sức khỏe của cộng đồng. Điều 21 quy định mọi người có quyền bất khả xâm phạm về đời sống riêng tư, bí mật cá nhân và bí mật gia đình. Điều 32 quy định mọi người có quyền sở hữu về thu </w:t>
            </w:r>
            <w:r w:rsidRPr="00214EA3">
              <w:rPr>
                <w:rFonts w:ascii="Times New Roman" w:eastAsia="Times New Roman" w:hAnsi="Times New Roman" w:cs="Times New Roman"/>
                <w:color w:val="000000" w:themeColor="text1"/>
                <w:sz w:val="26"/>
                <w:szCs w:val="26"/>
              </w:rPr>
              <w:lastRenderedPageBreak/>
              <w:t>nhập hợp pháp, của cải để dành, nhà ở, tư liệu sinh hoạt, tư liệu sản xuất, phần vốn góp trong doanh nghiệp hoặc trong các tổ chức kinh tế khác. Điều 33 quy định mọi người có quyền tự do kinh doanh trong những ngành nghề mà pháp luật không cấm.</w:t>
            </w:r>
          </w:p>
          <w:p w14:paraId="51F91BDC"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Căn cước số 26/2023/QH15: định danh cá nhân thông qua số định danh duy nhất gắn với Cơ sở dữ liệu quốc gia về dân cư. </w:t>
            </w:r>
          </w:p>
          <w:p w14:paraId="5CAE9DD6"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Bộ luật Dân sự số 91/2015/QH13: quy định năng lực pháp luật dân sự và năng lực hành vi dân sự của cá nhân, pháp nhân. </w:t>
            </w:r>
          </w:p>
          <w:p w14:paraId="31EA0F8E"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Doanh nghiệp số 59/2020/QH14: quy định mã số doanh nghiệp là yếu tố định danh duy nhất cho pháp nhân được cấp khi đăng ký thành lập. </w:t>
            </w:r>
          </w:p>
          <w:p w14:paraId="7B639B3D"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Hộ tịch số 60/2014/QH13, Luật Quốc tịch số 24/2008/QH12 (sửa đổi bởi Luật số 56/2014/QH13), Luật Cư trú số 68/2020/QH14: hệ thống thông tin pháp lý gốc về nhân thân của công dân. </w:t>
            </w:r>
          </w:p>
          <w:p w14:paraId="37477F80"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Luật Nhập cảnh, xuất cảnh, quá cảnh, cư trú của người nước ngoài tại Việt </w:t>
            </w:r>
            <w:r w:rsidRPr="00214EA3">
              <w:rPr>
                <w:rFonts w:ascii="Times New Roman" w:eastAsia="Times New Roman" w:hAnsi="Times New Roman" w:cs="Times New Roman"/>
                <w:color w:val="000000" w:themeColor="text1"/>
                <w:sz w:val="26"/>
                <w:szCs w:val="26"/>
              </w:rPr>
              <w:lastRenderedPageBreak/>
              <w:t>Nam số 47/2014/QH13 (sửa đổi 2019, 2023): cơ sở cấp tài khoản định danh điện tử cho người nước ngoài.</w:t>
            </w:r>
          </w:p>
          <w:p w14:paraId="4CF33395"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Đối với đối tượng vật chất: Luật Chất lượng sản phẩm, hàng hóa số 05/2007/QH12; Luật Nhà ở số 27/2023/QH15 (gắn với Nghị định số 357/2025/NĐ-CP về mã định danh điện tử sản phẩm bất động sản); Luật Trật tự, an toàn giao thông đường bộ số 36/2024/QH15 quy định Giấy phép lái xe điện tử, đăng ký xe điện tử; Nghị định số 13/2022/NĐ-CP về truy xuất nguồn gốc hàng hóa; Nghị định số 37/2026/NĐ-CP ngày 23/01/2026 (thay thế Nghị định 43/2017/NĐ-CP và Nghị định 111/2021/NĐ-CP) quy định mã định danh hàng hóa theo chuẩn GS1.</w:t>
            </w:r>
          </w:p>
          <w:p w14:paraId="290EAC0E"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Đối với đối tượng phi vật chất: Luật Sở hữu trí tuệ (văn bản hợp nhất số 07/VBHN-VPQH 2022) quy định số đăng ký bằng sáng chế, nhãn hiệu, kiểu dáng công nghiệp. Luật Công nghiệp công nghệ số số 71/2025/QH15 trước đây có Chương IV về AI đã được bãi bỏ bởi Luật Trí tuệ nhân tạo số 134/2025/QH15, tạo khoảng trống pháp </w:t>
            </w:r>
            <w:r w:rsidRPr="00214EA3">
              <w:rPr>
                <w:rFonts w:ascii="Times New Roman" w:eastAsia="Times New Roman" w:hAnsi="Times New Roman" w:cs="Times New Roman"/>
                <w:color w:val="000000" w:themeColor="text1"/>
                <w:sz w:val="26"/>
                <w:szCs w:val="26"/>
              </w:rPr>
              <w:lastRenderedPageBreak/>
              <w:t>lý cần được Luật ĐDXTĐT lấp đầy. Luật Viễn thông số 24/2023/QH15 quản lý thuê bao viễn thông, tên miền, địa chỉ IP, tài nguyên Internet. Luật An ninh mạng số 116/2025/QH15 (hiệu lực 01/7/2026) quy định trách nhiệm định danh địa chỉ IP, xác thực thông tin đăng ký tài khoản số của người sử dụng dịch vụ trên không gian mạng.</w:t>
            </w:r>
          </w:p>
          <w:p w14:paraId="32EB4F28"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Đối với địa điểm: Luật Đất đai số 31/2024/QH15 quy định mã thửa đất là yếu tố định danh duy nhất cho mỗi thửa đất; Hệ thống thông tin đất đai quốc gia. Nghị định số 357/2025/NĐ-CP ngày 31/12/2025 về Cơ sở dữ liệu nhà ở và thị trường bất động sản: Khoản 5 Điều 3 quy định mã định danh điện tử sản phẩm bất động sản là chuỗi ký tự được sử dụng để định danh duy nhất sản phẩm bất động sản trên môi trường điện tử, có độ dài tối đa 40 ký tự.</w:t>
            </w:r>
          </w:p>
          <w:p w14:paraId="0848829B"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Đối với giao dịch, hoạt động: Luật Quản lý thuế số 38/2019/QH14 quy định mã số thuế và hóa đơn điện tử. Luật Giao dịch điện tử số 20/2023/QH15: Điều 46 quy định tài khoản giao dịch điện tử có lưu lịch sử giao dịch có giá trị chứng </w:t>
            </w:r>
            <w:r w:rsidRPr="00214EA3">
              <w:rPr>
                <w:rFonts w:ascii="Times New Roman" w:eastAsia="Times New Roman" w:hAnsi="Times New Roman" w:cs="Times New Roman"/>
                <w:color w:val="000000" w:themeColor="text1"/>
                <w:sz w:val="26"/>
                <w:szCs w:val="26"/>
              </w:rPr>
              <w:lastRenderedPageBreak/>
              <w:t>minh. Luật Các tổ chức tín dụng số 32/2024/QH15, Luật Phòng chống rửa tiền số 14/2022/QH15, Luật Công chứng số 46/2024/QH15: yêu cầu xác thực điện tử trong các giao dịch ngân hàng, phòng chống rửa tiền, công chứng. Bộ luật Hình sự số 100/2015/QH13 (sửa đổi bởi Luật số 12/2017/QH14): Điều 285-294 quy định các tội xâm phạm an toàn thông tin mạng; Điều 174, 290 về lừa đảo, chiếm đoạt tài sản trên không gian mạng.</w:t>
            </w:r>
          </w:p>
        </w:tc>
        <w:tc>
          <w:tcPr>
            <w:tcW w:w="3827" w:type="dxa"/>
          </w:tcPr>
          <w:p w14:paraId="60C73C50"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Điểm 1.1 hợp hiến với các Điều 14, 21, 32, 33 Hiến pháp năm 2013; đồng bộ, thống nhất với hệ thống pháp luật hiện hành về định danh các nhóm đối tượng (cá nhân, tổ chức, vật chất, phi vật chất, địa điểm, giao dịch), trong đó các quy định hiện đang phân tán ở nhiều VBQPPL chuyên ngành.</w:t>
            </w:r>
          </w:p>
          <w:p w14:paraId="5661B841"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7DE684BA" w14:textId="71FADA88" w:rsidR="00092CC9" w:rsidRPr="00214EA3" w:rsidRDefault="0075365F">
            <w:pPr>
              <w:spacing w:before="120" w:after="12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xml:space="preserve">Việc luật hóa thành Luật ĐDXTĐT khắc phục tình trạng phân tán này, thiết lập khuôn khổ pháp lý thống nhất cho hoạt động </w:t>
            </w:r>
            <w:r w:rsidRPr="00214EA3">
              <w:rPr>
                <w:rFonts w:ascii="Times New Roman" w:eastAsia="Times New Roman" w:hAnsi="Times New Roman" w:cs="Times New Roman"/>
                <w:color w:val="000000" w:themeColor="text1"/>
                <w:sz w:val="26"/>
                <w:szCs w:val="26"/>
              </w:rPr>
              <w:lastRenderedPageBreak/>
              <w:t>ĐDXTĐT trên môi trường số.</w:t>
            </w:r>
            <w:r w:rsidR="003F0A90" w:rsidRPr="00214EA3">
              <w:rPr>
                <w:rFonts w:ascii="Times New Roman" w:eastAsia="Times New Roman" w:hAnsi="Times New Roman" w:cs="Times New Roman"/>
                <w:color w:val="000000" w:themeColor="text1"/>
                <w:sz w:val="26"/>
                <w:szCs w:val="26"/>
              </w:rPr>
              <w:t xml:space="preserve"> </w:t>
            </w:r>
            <w:r w:rsidR="00092CC9" w:rsidRPr="00214EA3">
              <w:rPr>
                <w:rFonts w:ascii="Times New Roman" w:eastAsia="Times New Roman" w:hAnsi="Times New Roman" w:cs="Times New Roman"/>
                <w:color w:val="000000" w:themeColor="text1"/>
                <w:sz w:val="26"/>
                <w:szCs w:val="26"/>
              </w:rPr>
              <w:t>Mã định danh điện tử được thiết kế trên cơ sở kế thừa và liên thông với các mã số chuyên ngành hiện có, không làm phát sinh yêu cầu thay thế các mã số hiện có; bảo đảm kết nối, chia sẻ dữ liệu và thực hiện chuyển đổi theo lộ trình phù hợp, tránh phát sinh xung đột pháp lý và chi phí tuân thủ đối với hoạt động của cơ quan, tổ chức, cá nhân.</w:t>
            </w:r>
          </w:p>
        </w:tc>
        <w:tc>
          <w:tcPr>
            <w:tcW w:w="4111" w:type="dxa"/>
          </w:tcPr>
          <w:p w14:paraId="0F7EE216" w14:textId="0D408C55"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xml:space="preserve">Đề xuất luật hóa quy định phạm vi, đối tượng được định danh và xác thực điện tử một cách toàn diện, bao quát toàn bộ các đối tượng trong quản lý nhà nước và hoạt động kinh tế - xã hội, bảo đảm </w:t>
            </w:r>
            <w:r w:rsidR="00734A5F" w:rsidRPr="00214EA3">
              <w:rPr>
                <w:rFonts w:ascii="Times New Roman" w:eastAsia="Times New Roman" w:hAnsi="Times New Roman" w:cs="Times New Roman"/>
                <w:i/>
                <w:iCs/>
                <w:color w:val="000000" w:themeColor="text1"/>
                <w:sz w:val="26"/>
                <w:szCs w:val="26"/>
              </w:rPr>
              <w:t>“</w:t>
            </w:r>
            <w:r w:rsidRPr="00214EA3">
              <w:rPr>
                <w:rFonts w:ascii="Times New Roman" w:eastAsia="Times New Roman" w:hAnsi="Times New Roman" w:cs="Times New Roman"/>
                <w:i/>
                <w:iCs/>
                <w:color w:val="000000" w:themeColor="text1"/>
                <w:sz w:val="26"/>
                <w:szCs w:val="26"/>
              </w:rPr>
              <w:t>mỗi đối tượng được cấp một mã định danh duy nhất</w:t>
            </w:r>
            <w:r w:rsidR="00734A5F" w:rsidRPr="00214EA3">
              <w:rPr>
                <w:rFonts w:ascii="Times New Roman" w:eastAsia="Times New Roman" w:hAnsi="Times New Roman" w:cs="Times New Roman"/>
                <w:i/>
                <w:iCs/>
                <w:color w:val="000000" w:themeColor="text1"/>
                <w:sz w:val="26"/>
                <w:szCs w:val="26"/>
              </w:rPr>
              <w:t>”</w:t>
            </w:r>
            <w:r w:rsidRPr="00214EA3">
              <w:rPr>
                <w:rFonts w:ascii="Times New Roman" w:eastAsia="Times New Roman" w:hAnsi="Times New Roman" w:cs="Times New Roman"/>
                <w:color w:val="000000" w:themeColor="text1"/>
                <w:sz w:val="26"/>
                <w:szCs w:val="26"/>
              </w:rPr>
              <w:t>, bao gồm 05 nhóm đối tượng: (i) cơ quan, tổ chức, cá nhân; (ii) đối tượng vật chất; (iii) đối tượng phi vật chất; (iv) địa điểm, vị trí, không gian; (v) hoạt động, sự kiện, giao dịch, hành vi.</w:t>
            </w:r>
          </w:p>
          <w:p w14:paraId="11B42BE7"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48050274" w14:textId="00545187" w:rsidR="00DD2E54" w:rsidRPr="00214EA3" w:rsidRDefault="00B87CAC">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Giải pháp</w:t>
            </w:r>
            <w:r w:rsidR="003F0A90" w:rsidRPr="00214EA3">
              <w:rPr>
                <w:rFonts w:ascii="Times New Roman" w:eastAsia="Times New Roman" w:hAnsi="Times New Roman" w:cs="Times New Roman"/>
                <w:color w:val="000000" w:themeColor="text1"/>
                <w:sz w:val="26"/>
                <w:szCs w:val="26"/>
              </w:rPr>
              <w:t xml:space="preserve"> này thiết lập khuôn khổ pháp lý thống nhất cho hoạt động ĐDXTĐT trong toàn bộ phạm vi quản lý nhà nước và các hoạt động kinh tế-xã hội trên môi trường số; khắc phục tình trạng phân tán, thiếu liên kết giữa các quy định hiện hành.</w:t>
            </w:r>
          </w:p>
        </w:tc>
      </w:tr>
      <w:tr w:rsidR="00214EA3" w:rsidRPr="00214EA3" w14:paraId="002FFC62" w14:textId="77777777" w:rsidTr="00A131CE">
        <w:tc>
          <w:tcPr>
            <w:tcW w:w="2263" w:type="dxa"/>
          </w:tcPr>
          <w:p w14:paraId="2BD48CD3" w14:textId="77777777" w:rsidR="00DD2E54" w:rsidRPr="00214EA3" w:rsidRDefault="00DD2E54">
            <w:pPr>
              <w:spacing w:before="120" w:after="120" w:line="240" w:lineRule="auto"/>
              <w:jc w:val="both"/>
              <w:rPr>
                <w:rFonts w:ascii="Times New Roman" w:eastAsia="Times New Roman" w:hAnsi="Times New Roman" w:cs="Times New Roman"/>
                <w:color w:val="000000" w:themeColor="text1"/>
                <w:sz w:val="20"/>
                <w:szCs w:val="20"/>
              </w:rPr>
            </w:pPr>
          </w:p>
        </w:tc>
        <w:tc>
          <w:tcPr>
            <w:tcW w:w="4395" w:type="dxa"/>
          </w:tcPr>
          <w:p w14:paraId="142B5672"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Căn cước số 26/2023/QH15 quy định số định danh cá nhân là dãy số tự nhiên do hệ thống Cơ sở dữ liệu quốc gia về dân cư xác lập, cấp một lần cho mỗi công dân Việt Nam từ khi đăng ký khai sinh và sử dụng suốt cuộc đời, là yếu tố định danh duy nhất gắn với mọi giao dịch hành chính, dân sự của công dân.</w:t>
            </w:r>
          </w:p>
          <w:p w14:paraId="5DA00B16"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Luật Doanh nghiệp số 59/2020/QH14 quy định mã số doanh nghiệp là dãy số được tạo ra bởi Hệ thống thông tin quốc gia về đăng ký doanh nghiệp, được cấp cho doanh nghiệp khi thành lập và được ghi trên Giấy chứng nhận đăng ký doanh nghiệp. Mỗi doanh nghiệp có một mã số </w:t>
            </w:r>
            <w:r w:rsidRPr="00214EA3">
              <w:rPr>
                <w:rFonts w:ascii="Times New Roman" w:eastAsia="Times New Roman" w:hAnsi="Times New Roman" w:cs="Times New Roman"/>
                <w:color w:val="000000" w:themeColor="text1"/>
                <w:sz w:val="26"/>
                <w:szCs w:val="26"/>
              </w:rPr>
              <w:lastRenderedPageBreak/>
              <w:t>duy nhất và không được sử dụng lại để cấp cho doanh nghiệp khác. Mã số doanh nghiệp được dùng để thực hiện nghĩa vụ về thuế, thủ tục hành chính và quyền, nghĩa vụ khác.</w:t>
            </w:r>
          </w:p>
          <w:p w14:paraId="5FD62342"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Đất đai số 31/2024/QH15 quy định mã thửa đất là mã định danh duy nhất cho mỗi thửa đất trong Hệ thống thông tin đất đai quốc gia; được sử dụng để quản lý, cập nhật, khai thác thông tin về thửa đất qua các giai đoạn.</w:t>
            </w:r>
          </w:p>
          <w:p w14:paraId="351373C5"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Quản lý thuế số 38/2019/QH14 quy định mã số thuế là dãy số gồm 10 hoặc 13 chữ số, được cơ quan thuế cấp cho người nộp thuế để quản lý thuế. Mỗi người nộp thuế chỉ được cấp một mã số thuế duy nhất để sử dụng trong suốt quá trình hoạt động.</w:t>
            </w:r>
          </w:p>
          <w:p w14:paraId="464D0968"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26/2026/NĐ-CP ngày 17/01/2026 về hóa chất cần kiểm soát đặc biệt: Khoản 2 Điều 27 quy định: "</w:t>
            </w:r>
            <w:r w:rsidRPr="00214EA3">
              <w:rPr>
                <w:rFonts w:ascii="Times New Roman" w:eastAsia="Times New Roman" w:hAnsi="Times New Roman" w:cs="Times New Roman"/>
                <w:i/>
                <w:iCs/>
                <w:color w:val="000000" w:themeColor="text1"/>
                <w:sz w:val="26"/>
                <w:szCs w:val="26"/>
              </w:rPr>
              <w:t>xây dựng hệ thống định danh, xác thực và truy xuất nguồn gốc đối với hóa chất cần kiểm soát đặc biệt trên nền tảng định danh và xác thực điện tử quốc gia</w:t>
            </w:r>
            <w:r w:rsidRPr="00214EA3">
              <w:rPr>
                <w:rFonts w:ascii="Times New Roman" w:eastAsia="Times New Roman" w:hAnsi="Times New Roman" w:cs="Times New Roman"/>
                <w:color w:val="000000" w:themeColor="text1"/>
                <w:sz w:val="26"/>
                <w:szCs w:val="26"/>
              </w:rPr>
              <w:t xml:space="preserve">". Đây là một trong những văn bản pháp luật đầu tiên dẫn chiếu trực tiếp đến "nền </w:t>
            </w:r>
            <w:r w:rsidRPr="00214EA3">
              <w:rPr>
                <w:rFonts w:ascii="Times New Roman" w:eastAsia="Times New Roman" w:hAnsi="Times New Roman" w:cs="Times New Roman"/>
                <w:color w:val="000000" w:themeColor="text1"/>
                <w:sz w:val="26"/>
                <w:szCs w:val="26"/>
              </w:rPr>
              <w:lastRenderedPageBreak/>
              <w:t>tảng định danh và xác thực điện tử quốc gia".</w:t>
            </w:r>
          </w:p>
          <w:p w14:paraId="78E868D7" w14:textId="3DC867CF" w:rsidR="00DD2E54" w:rsidRPr="00214EA3" w:rsidRDefault="0075365F" w:rsidP="00A131CE">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357/2025/NĐ-CP ngày 31/12/2025 về CSDL nhà ở và thị trường bất động sản: Khoản 5 Điều 3 quy định mã định danh điện tử sản phẩm bất động sản là chuỗi ký tự được sử dụng để định danh duy nhất sản phẩm bất động sản trên môi trường điện tử, có độ dài tối đa 40 ký tự.</w:t>
            </w:r>
          </w:p>
        </w:tc>
        <w:tc>
          <w:tcPr>
            <w:tcW w:w="3827" w:type="dxa"/>
          </w:tcPr>
          <w:p w14:paraId="070AFD2A"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Điểm 1.2 đồng bộ, thống nhất với nguyên tắc hiện có trong các luật chuyên ngành về mã định danh duy nhất (Luật Căn cước, Luật Doanh nghiệp, Luật Đất đai, Luật Quản lý thuế).</w:t>
            </w:r>
          </w:p>
          <w:p w14:paraId="4B9EEDE1"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2B189E5E" w14:textId="31DAAFBE" w:rsidR="00734A5F" w:rsidRPr="00214EA3" w:rsidRDefault="0075365F">
            <w:pPr>
              <w:spacing w:before="120" w:after="12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xml:space="preserve">Việc luật hóa nguyên tắc chung về mã định danh duy nhất ở cấp Luật ĐDXTĐT là cần thiết để bảo đảm tính hợp hiến, hợp pháp và thống nhất với các quy định hiện hành; khắc phục hiện trạng phân mảnh giữa các bộ, ngành. Đặc biệt, Nghị định 26/2026/NĐ-CP đã dẫn chiếu </w:t>
            </w:r>
            <w:r w:rsidRPr="00214EA3">
              <w:rPr>
                <w:rFonts w:ascii="Times New Roman" w:eastAsia="Times New Roman" w:hAnsi="Times New Roman" w:cs="Times New Roman"/>
                <w:color w:val="000000" w:themeColor="text1"/>
                <w:sz w:val="26"/>
                <w:szCs w:val="26"/>
              </w:rPr>
              <w:lastRenderedPageBreak/>
              <w:t xml:space="preserve">trực tiếp đến </w:t>
            </w:r>
            <w:r w:rsidR="00734A5F" w:rsidRPr="00214EA3">
              <w:rPr>
                <w:rFonts w:ascii="Times New Roman" w:eastAsia="Times New Roman" w:hAnsi="Times New Roman" w:cs="Times New Roman"/>
                <w:i/>
                <w:iCs/>
                <w:color w:val="000000" w:themeColor="text1"/>
                <w:sz w:val="26"/>
                <w:szCs w:val="26"/>
              </w:rPr>
              <w:t>“</w:t>
            </w:r>
            <w:r w:rsidRPr="00214EA3">
              <w:rPr>
                <w:rFonts w:ascii="Times New Roman" w:eastAsia="Times New Roman" w:hAnsi="Times New Roman" w:cs="Times New Roman"/>
                <w:i/>
                <w:iCs/>
                <w:color w:val="000000" w:themeColor="text1"/>
                <w:sz w:val="26"/>
                <w:szCs w:val="26"/>
              </w:rPr>
              <w:t>nền tảng định danh và xác thực điện tử quốc gia</w:t>
            </w:r>
            <w:r w:rsidR="00734A5F" w:rsidRPr="00214EA3">
              <w:rPr>
                <w:rFonts w:ascii="Times New Roman" w:eastAsia="Times New Roman" w:hAnsi="Times New Roman" w:cs="Times New Roman"/>
                <w:i/>
                <w:iCs/>
                <w:color w:val="000000" w:themeColor="text1"/>
                <w:sz w:val="26"/>
                <w:szCs w:val="26"/>
              </w:rPr>
              <w:t>”</w:t>
            </w:r>
            <w:r w:rsidRPr="00214EA3">
              <w:rPr>
                <w:rFonts w:ascii="Times New Roman" w:eastAsia="Times New Roman" w:hAnsi="Times New Roman" w:cs="Times New Roman"/>
                <w:color w:val="000000" w:themeColor="text1"/>
                <w:sz w:val="26"/>
                <w:szCs w:val="26"/>
              </w:rPr>
              <w:t xml:space="preserve">. </w:t>
            </w:r>
            <w:r w:rsidR="00734A5F" w:rsidRPr="00214EA3">
              <w:rPr>
                <w:rFonts w:ascii="Times New Roman" w:eastAsia="Times New Roman" w:hAnsi="Times New Roman" w:cs="Times New Roman"/>
                <w:color w:val="000000" w:themeColor="text1"/>
                <w:sz w:val="26"/>
                <w:szCs w:val="26"/>
              </w:rPr>
              <w:t xml:space="preserve"> Theo đó, mã định danh điện tử được thiết kế trên cơ sở kế thừa và liên thông với các mã số chuyên ngành hiện có, không làm phát sinh yêu cầu thay thế các mã số hiện có; bảo đảm kết nối, chia sẻ dữ liệu và thực hiện chuyển đổi theo lộ trình phù hợp, tránh phát sinh xung đột pháp lý và chi phí tuân thủ đối với hoạt động của cơ quan, tổ chức, cá nhân.</w:t>
            </w:r>
          </w:p>
        </w:tc>
        <w:tc>
          <w:tcPr>
            <w:tcW w:w="4111" w:type="dxa"/>
          </w:tcPr>
          <w:p w14:paraId="6A803684" w14:textId="4351ABD2"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xml:space="preserve">Đề xuất luật hóa nguyên tắc </w:t>
            </w:r>
            <w:r w:rsidR="003F0A90" w:rsidRPr="00214EA3">
              <w:rPr>
                <w:rFonts w:ascii="Times New Roman" w:eastAsia="Times New Roman" w:hAnsi="Times New Roman" w:cs="Times New Roman"/>
                <w:i/>
                <w:iCs/>
                <w:color w:val="000000" w:themeColor="text1"/>
                <w:sz w:val="26"/>
                <w:szCs w:val="26"/>
              </w:rPr>
              <w:t>“</w:t>
            </w:r>
            <w:r w:rsidRPr="00214EA3">
              <w:rPr>
                <w:rFonts w:ascii="Times New Roman" w:eastAsia="Times New Roman" w:hAnsi="Times New Roman" w:cs="Times New Roman"/>
                <w:i/>
                <w:iCs/>
                <w:color w:val="000000" w:themeColor="text1"/>
                <w:sz w:val="26"/>
                <w:szCs w:val="26"/>
              </w:rPr>
              <w:t>mỗi đối tượng được cấp một mã định danh duy nhất</w:t>
            </w:r>
            <w:r w:rsidR="003F0A90" w:rsidRPr="00214EA3">
              <w:rPr>
                <w:rFonts w:ascii="Times New Roman" w:eastAsia="Times New Roman" w:hAnsi="Times New Roman" w:cs="Times New Roman"/>
                <w:i/>
                <w:iCs/>
                <w:color w:val="000000" w:themeColor="text1"/>
                <w:sz w:val="26"/>
                <w:szCs w:val="26"/>
              </w:rPr>
              <w:t>”</w:t>
            </w:r>
            <w:r w:rsidRPr="00214EA3">
              <w:rPr>
                <w:rFonts w:ascii="Times New Roman" w:eastAsia="Times New Roman" w:hAnsi="Times New Roman" w:cs="Times New Roman"/>
                <w:color w:val="000000" w:themeColor="text1"/>
                <w:sz w:val="26"/>
                <w:szCs w:val="26"/>
              </w:rPr>
              <w:t xml:space="preserve"> thay thế cơ chế các bộ, ngành ban hành mã định danh chuyên ngành riêng. Quy định nguyên tắc liên thông giữa Luật ĐDXTĐT và các luật chuyên ngành về mã định danh.</w:t>
            </w:r>
          </w:p>
          <w:p w14:paraId="53B852E6"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61511F70" w14:textId="2F397194" w:rsidR="00DD2E54" w:rsidRPr="00214EA3" w:rsidRDefault="00B87CAC">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75365F" w:rsidRPr="00214EA3">
              <w:rPr>
                <w:rFonts w:ascii="Times New Roman" w:eastAsia="Times New Roman" w:hAnsi="Times New Roman" w:cs="Times New Roman"/>
                <w:color w:val="000000" w:themeColor="text1"/>
                <w:sz w:val="26"/>
                <w:szCs w:val="26"/>
              </w:rPr>
              <w:t xml:space="preserve"> này thiết lập khuôn khổ pháp lý thống nhất cho mã định danh, khắc phục tình trạng phân tán; tạo nền tảng cho liên thông, chia sẻ dữ liệu giữa các bộ, ngành theo định hướng của Luật Dữ liệu số 60/2024/QH15.</w:t>
            </w:r>
          </w:p>
        </w:tc>
      </w:tr>
      <w:tr w:rsidR="00214EA3" w:rsidRPr="00214EA3" w14:paraId="3E661C31" w14:textId="77777777" w:rsidTr="00A131CE">
        <w:tc>
          <w:tcPr>
            <w:tcW w:w="2263" w:type="dxa"/>
          </w:tcPr>
          <w:p w14:paraId="4BF1F645" w14:textId="77777777" w:rsidR="00DD2E54" w:rsidRPr="00214EA3" w:rsidRDefault="00DD2E54">
            <w:pPr>
              <w:spacing w:before="120" w:after="120" w:line="240" w:lineRule="auto"/>
              <w:jc w:val="both"/>
              <w:rPr>
                <w:rFonts w:ascii="Times New Roman" w:eastAsia="Times New Roman" w:hAnsi="Times New Roman" w:cs="Times New Roman"/>
                <w:color w:val="000000" w:themeColor="text1"/>
                <w:sz w:val="20"/>
                <w:szCs w:val="20"/>
              </w:rPr>
            </w:pPr>
          </w:p>
        </w:tc>
        <w:tc>
          <w:tcPr>
            <w:tcW w:w="4395" w:type="dxa"/>
          </w:tcPr>
          <w:p w14:paraId="1C819787"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An ninh mạng số 116/2025/QH15 (hiệu lực 01/7/2026): Điều 41 quy định: "</w:t>
            </w:r>
            <w:r w:rsidRPr="00214EA3">
              <w:rPr>
                <w:rFonts w:ascii="Times New Roman" w:eastAsia="Times New Roman" w:hAnsi="Times New Roman" w:cs="Times New Roman"/>
                <w:i/>
                <w:iCs/>
                <w:color w:val="000000" w:themeColor="text1"/>
                <w:sz w:val="26"/>
                <w:szCs w:val="26"/>
              </w:rPr>
              <w:t>Doanh nghiệp cung cấp dịch vụ viễn thông, dịch vụ trên không gian mạng có trách nhiệm định danh địa chỉ IP, xác thực thông tin đăng ký tài khoản số của người sử dụng dịch vụ</w:t>
            </w:r>
            <w:r w:rsidRPr="00214EA3">
              <w:rPr>
                <w:rFonts w:ascii="Times New Roman" w:eastAsia="Times New Roman" w:hAnsi="Times New Roman" w:cs="Times New Roman"/>
                <w:color w:val="000000" w:themeColor="text1"/>
                <w:sz w:val="26"/>
                <w:szCs w:val="26"/>
              </w:rPr>
              <w:t>". Quy định này là cơ sở pháp lý trực tiếp cho việc liên kết các đối tượng phi vật chất (địa chỉ IP, tài khoản số) với định danh của chủ thể sử dụng.</w:t>
            </w:r>
          </w:p>
          <w:p w14:paraId="329ECB78"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Luật Viễn thông số 24/2023/QH15: yêu cầu chuẩn hóa thông tin thuê bao viễn thông gắn với thẻ Căn cước công dân, xử lý SIM chưa đầy đủ thông tin; mã thuê bao viễn thông được liên kết với </w:t>
            </w:r>
            <w:r w:rsidRPr="00214EA3">
              <w:rPr>
                <w:rFonts w:ascii="Times New Roman" w:eastAsia="Times New Roman" w:hAnsi="Times New Roman" w:cs="Times New Roman"/>
                <w:color w:val="000000" w:themeColor="text1"/>
                <w:sz w:val="26"/>
                <w:szCs w:val="26"/>
              </w:rPr>
              <w:lastRenderedPageBreak/>
              <w:t>định danh cá nhân chủ thuê bao để bảo đảm trách nhiệm sử dụng dịch vụ.</w:t>
            </w:r>
          </w:p>
          <w:p w14:paraId="10F081A1"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Trật tự, an toàn giao thông đường bộ số 36/2024/QH15: Giấy phép lái xe điện tử và đăng ký xe điện tử được liên kết với định danh của cá nhân, tổ chức chủ sở hữu, người được giao quản lý phương tiện; là cơ sở để xử lý vi phạm hành chính, truy vết hành vi vi phạm giao thông.</w:t>
            </w:r>
          </w:p>
          <w:p w14:paraId="75A9B874"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13/2022/NĐ-CP về truy xuất nguồn gốc hàng hóa: quy định khung pháp lý cho hoạt động truy xuất nguồn gốc, trong đó hàng hóa phải được liên kết với thông tin về tổ chức, cá nhân sản xuất, phân phối qua mã định danh theo chuẩn GS1 EPCIS 2.0.</w:t>
            </w:r>
          </w:p>
          <w:p w14:paraId="0B163879"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Phòng chống rửa tiền số 14/2022/QH15: yêu cầu các tổ chức báo cáo thực hiện nhận biết khách hàng (CDD) và nhận biết khách hàng nâng cao (EDD); mọi giao dịch tài chính phải được liên kết với chủ thể giao dịch để phục vụ giám sát giao dịch đáng ngờ và phòng chống rửa tiền, tài trợ khủng bố.</w:t>
            </w:r>
          </w:p>
          <w:p w14:paraId="6E8136DF"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Bộ luật Hình sự số 100/2015/QH13 (sửa đổi bởi Luật số 12/2017/QH14): Điều 285-294 quy định các tội xâm phạm an toàn thông tin mạng; Điều 174, 290 về tội lừa đảo, chiếm đoạt tài sản trên không gian mạng. Việc truy cứu trách nhiệm hình sự đối với các hành vi này chỉ có thể thực hiện hiệu quả khi có cơ chế liên kết đối tượng (thiết bị, tài khoản, giao dịch) với chủ thể vi phạm cụ thể.</w:t>
            </w:r>
          </w:p>
        </w:tc>
        <w:tc>
          <w:tcPr>
            <w:tcW w:w="3827" w:type="dxa"/>
          </w:tcPr>
          <w:p w14:paraId="6E22FCB3"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Điểm 1.3 đồng bộ, thống nhất với các quy định hiện hành về liên kết đối tượng với chủ thể quản lý, sở hữu (Luật ANM 116/2025 Điều 41, Luật Viễn thông, Luật TT-ATGTĐB, Luật PCRT, NĐ 13/2022).</w:t>
            </w:r>
          </w:p>
          <w:p w14:paraId="4F454A40"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303E5065"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Việc luật hóa nguyên tắc liên kết đối tượng với chủ thể trong Luật ĐDXTĐT bảo đảm tính hợp hiến, hợp pháp và là cơ sở để các pháp luật chuyên ngành thực hiện trách nhiệm truy vết, truy xuất gắn với chủ thể.</w:t>
            </w:r>
          </w:p>
        </w:tc>
        <w:tc>
          <w:tcPr>
            <w:tcW w:w="4111" w:type="dxa"/>
          </w:tcPr>
          <w:p w14:paraId="619EEFAE"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Đề xuất luật hóa nguyên tắc liên kết đối tượng được định danh (không phải người, tổ chức) với định danh của chủ thể quản lý, sở hữu để bảo đảm truy vết, truy xuất.</w:t>
            </w:r>
          </w:p>
          <w:p w14:paraId="295DE0DF"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11888BC1" w14:textId="49C70FE2" w:rsidR="00DD2E54" w:rsidRPr="00214EA3" w:rsidRDefault="00B87CAC">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3F0A90" w:rsidRPr="00214EA3">
              <w:rPr>
                <w:rFonts w:ascii="Times New Roman" w:eastAsia="Times New Roman" w:hAnsi="Times New Roman" w:cs="Times New Roman"/>
                <w:color w:val="000000" w:themeColor="text1"/>
                <w:sz w:val="26"/>
                <w:szCs w:val="26"/>
              </w:rPr>
              <w:t xml:space="preserve"> này nâng cao hiệu quả phát hiện sớm giao dịch đáng ngờ (lĩnh vực ngân hàng hiện chiếm khoảng 92% báo cáo giao dịch đáng ngờ về rửa tiền); nâng cao hiệu quả điều tra, truy vết và thu hồi tài sản trong các vụ án công nghệ cao, đặc biệt là các vụ án lừa đảo trực tuyến, đánh bạc </w:t>
            </w:r>
            <w:r w:rsidR="003F0A90" w:rsidRPr="00214EA3">
              <w:rPr>
                <w:rFonts w:ascii="Times New Roman" w:eastAsia="Times New Roman" w:hAnsi="Times New Roman" w:cs="Times New Roman"/>
                <w:color w:val="000000" w:themeColor="text1"/>
                <w:sz w:val="26"/>
                <w:szCs w:val="26"/>
              </w:rPr>
              <w:lastRenderedPageBreak/>
              <w:t>online, tài sản ảo và nền tảng xuyên biên giới.</w:t>
            </w:r>
          </w:p>
        </w:tc>
      </w:tr>
      <w:tr w:rsidR="00214EA3" w:rsidRPr="00214EA3" w14:paraId="111002EE" w14:textId="77777777" w:rsidTr="00A131CE">
        <w:tc>
          <w:tcPr>
            <w:tcW w:w="2263" w:type="dxa"/>
          </w:tcPr>
          <w:p w14:paraId="36FCC623"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b/>
                <w:bCs/>
                <w:color w:val="000000" w:themeColor="text1"/>
                <w:sz w:val="26"/>
                <w:szCs w:val="26"/>
              </w:rPr>
              <w:lastRenderedPageBreak/>
              <w:t xml:space="preserve">CHÍNH SÁCH 2: </w:t>
            </w:r>
            <w:r w:rsidRPr="00214EA3">
              <w:rPr>
                <w:rFonts w:ascii="Times New Roman" w:eastAsia="Times New Roman" w:hAnsi="Times New Roman" w:cs="Times New Roman"/>
                <w:color w:val="000000" w:themeColor="text1"/>
                <w:sz w:val="26"/>
                <w:szCs w:val="26"/>
              </w:rPr>
              <w:t>Xây dựng Cơ sở dữ liệu quốc gia về định danh và xác thực điện tử, gắn với phát triển Ứng dụng định danh quốc gia (VNeID) để khai thác, chia sẻ dữ liệu và cung cấp dịch vụ số thống nhất</w:t>
            </w:r>
          </w:p>
        </w:tc>
        <w:tc>
          <w:tcPr>
            <w:tcW w:w="4395" w:type="dxa"/>
          </w:tcPr>
          <w:p w14:paraId="1A49FD0A"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Căn cước số 26/2023/QH15: Điều 11, Điều 12 quy định Cơ sở dữ liệu quốc gia về dân cư là cơ sở dữ liệu dùng chung của các cơ quan, tổ chức, do Bộ Công an quản lý, vận hành; Điều 31 đến Điều 35 quy định về hệ thống định danh và xác thực điện tử, danh tính điện tử của công dân Việt Nam, tài khoản định danh điện tử và Ứng dụng định danh quốc gia.</w:t>
            </w:r>
          </w:p>
          <w:p w14:paraId="237D37AF"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Dữ liệu số 60/2024/QH15: Khoản 2 Điều 8 quy định: "Bộ Công an là cơ quan đầu mối giúp Chính phủ thống nhất quản lý nhà nước về dữ liệu".</w:t>
            </w:r>
          </w:p>
          <w:p w14:paraId="15CE0041"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Nghị định số 69/2024/NĐ-CP về định danh và xác thực điện tử: quy định Cơ </w:t>
            </w:r>
            <w:r w:rsidRPr="00214EA3">
              <w:rPr>
                <w:rFonts w:ascii="Times New Roman" w:eastAsia="Times New Roman" w:hAnsi="Times New Roman" w:cs="Times New Roman"/>
                <w:color w:val="000000" w:themeColor="text1"/>
                <w:sz w:val="26"/>
                <w:szCs w:val="26"/>
              </w:rPr>
              <w:lastRenderedPageBreak/>
              <w:t>sở dữ liệu quốc gia về định danh và xác thực điện tử; quy định mức độ xác thực điện tử; quy định nguyên tắc lưu nhật ký xác thực điện tử trong thời hạn tối thiểu 05 năm; quy định kết nối, chia sẻ dữ liệu giữa Cơ sở dữ liệu quốc gia về định danh và xác thực điện tử với các Cơ sở dữ liệu chuyên ngành.</w:t>
            </w:r>
          </w:p>
          <w:p w14:paraId="1AEC82A0"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169/2025/NĐ-CP sửa đổi, bổ sung Nghị định 69/2024/NĐ-CP: Khoản 2 Điều 43 sửa đổi Điều 21 về phương thức xác thực điện tử thông qua hệ thống định danh và xác thực điện tử, sàn dữ liệu, Cơ sở dữ liệu tổng hợp quốc gia hoặc các phương thức khác do Bộ Công an cung cấp.</w:t>
            </w:r>
          </w:p>
          <w:p w14:paraId="7E5BF2C3"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278/2025/NĐ-CP (hiệu lực 22/10/2025) thay thế Nghị định 47/2020/NĐ-CP: quy định danh mục Cơ sở dữ liệu quốc gia bắt buộc kết nối, đồng bộ, chia sẻ; Khung kiến trúc dữ liệu quốc gia làm cơ sở để các bộ, ngành xây dựng cơ sở dữ liệu chuyên ngành tương thích.</w:t>
            </w:r>
          </w:p>
          <w:p w14:paraId="287D1D59"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Nghị định số 194/2025/NĐ-CP về khai thác, sử dụng Cơ sở dữ liệu quốc gia: quy định nguyên tắc, điều kiện và thủ tục </w:t>
            </w:r>
            <w:r w:rsidRPr="00214EA3">
              <w:rPr>
                <w:rFonts w:ascii="Times New Roman" w:eastAsia="Times New Roman" w:hAnsi="Times New Roman" w:cs="Times New Roman"/>
                <w:color w:val="000000" w:themeColor="text1"/>
                <w:sz w:val="26"/>
                <w:szCs w:val="26"/>
              </w:rPr>
              <w:lastRenderedPageBreak/>
              <w:t>khai thác dữ liệu phục vụ quản lý nhà nước, dịch vụ công và phát triển kinh tế - xã hội.</w:t>
            </w:r>
          </w:p>
          <w:p w14:paraId="62DBB892"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87/2020/NĐ-CP về Cơ sở dữ liệu hộ tịch điện tử quy định việc xây dựng, quản lý, khai thác, sử dụng Cơ sở dữ liệu hộ tịch điện tử có liên thông với Cơ sở dữ liệu quốc gia về dân cư.</w:t>
            </w:r>
          </w:p>
          <w:p w14:paraId="22449FB1"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Quyết định số 175/QĐ-TTg ngày 14/02/2025 của Thủ tướng Chính phủ phê duyệt Đề án Trung tâm dữ liệu quốc gia (TTDLQG) — hạ tầng dùng chung cho các Cơ sở dữ liệu quốc gia, trong đó có Cơ sở dữ liệu quốc gia về định danh và xác thực điện tử.</w:t>
            </w:r>
          </w:p>
        </w:tc>
        <w:tc>
          <w:tcPr>
            <w:tcW w:w="3827" w:type="dxa"/>
          </w:tcPr>
          <w:p w14:paraId="3DAF1D4C"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Điểm 2.1 đồng bộ với hệ thống pháp luật hiện hành về Cơ sở dữ liệu quốc gia (Luật Căn cước, Luật Dữ liệu, NĐ 69/2024, NĐ 169/2025, NĐ 278/2025, NĐ 194/2025).</w:t>
            </w:r>
          </w:p>
          <w:p w14:paraId="0203B7D7"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63B074AA"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Việc luật hóa Cơ sở dữ liệu quốc gia về ĐDXTĐT với cơ chế liên thông, đồng bộ với các Cơ sở dữ liệu chuyên ngành là sự kế thừa và phát triển trực tiếp của Nghị định 69/2024/NĐ-CP và Luật Dữ liệu; bảo đảm nguyên tắc tập trung, </w:t>
            </w:r>
            <w:r w:rsidRPr="00214EA3">
              <w:rPr>
                <w:rFonts w:ascii="Times New Roman" w:eastAsia="Times New Roman" w:hAnsi="Times New Roman" w:cs="Times New Roman"/>
                <w:color w:val="000000" w:themeColor="text1"/>
                <w:sz w:val="26"/>
                <w:szCs w:val="26"/>
              </w:rPr>
              <w:lastRenderedPageBreak/>
              <w:t>thống nhất trong quản trị dữ liệu quốc gia.</w:t>
            </w:r>
          </w:p>
        </w:tc>
        <w:tc>
          <w:tcPr>
            <w:tcW w:w="4111" w:type="dxa"/>
          </w:tcPr>
          <w:p w14:paraId="03789B7E"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Đề xuất luật hóa nội dung Cơ sở dữ liệu quốc gia về ĐDXTĐT nhằm xây dựng Cơ sở dữ liệu quốc gia về định danh và xác thực điện tử và phát triển ứng dụng định danh quốc gia VNeID", trong đó Cơ sở dữ liệu bảo đảm cơ chế liên thông, đồng bộ từ các Cơ sở dữ liệu chuyên ngành.</w:t>
            </w:r>
          </w:p>
          <w:p w14:paraId="5B6657BC" w14:textId="77777777" w:rsidR="003F0A90" w:rsidRPr="00214EA3" w:rsidRDefault="003F0A90">
            <w:pPr>
              <w:spacing w:before="120" w:after="120" w:line="240" w:lineRule="auto"/>
              <w:jc w:val="both"/>
              <w:rPr>
                <w:rFonts w:ascii="Times New Roman" w:eastAsia="Times New Roman" w:hAnsi="Times New Roman" w:cs="Times New Roman"/>
                <w:color w:val="000000" w:themeColor="text1"/>
              </w:rPr>
            </w:pPr>
          </w:p>
          <w:p w14:paraId="44F1F34F" w14:textId="74B93820" w:rsidR="00DD2E54" w:rsidRPr="00214EA3" w:rsidRDefault="00B87CAC">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3F0A90" w:rsidRPr="00214EA3">
              <w:rPr>
                <w:rFonts w:ascii="Times New Roman" w:eastAsia="Times New Roman" w:hAnsi="Times New Roman" w:cs="Times New Roman"/>
                <w:color w:val="000000" w:themeColor="text1"/>
                <w:sz w:val="26"/>
                <w:szCs w:val="26"/>
              </w:rPr>
              <w:t xml:space="preserve"> này hình thành một hệ sinh thái định danh và xác thực thống nhất, dữ liệu được tập trung, chuẩn hóa và khai thác đồng bộ; khắc phục tình trạng phân tán ứng dụng, giảm trùng lặp đầu tư.</w:t>
            </w:r>
          </w:p>
        </w:tc>
      </w:tr>
      <w:tr w:rsidR="00214EA3" w:rsidRPr="00214EA3" w14:paraId="69221415" w14:textId="77777777" w:rsidTr="00A131CE">
        <w:tc>
          <w:tcPr>
            <w:tcW w:w="2263" w:type="dxa"/>
          </w:tcPr>
          <w:p w14:paraId="2E4D2726" w14:textId="77777777" w:rsidR="00DD2E54" w:rsidRPr="00214EA3" w:rsidRDefault="00DD2E54">
            <w:pPr>
              <w:spacing w:before="120" w:after="120" w:line="240" w:lineRule="auto"/>
              <w:jc w:val="both"/>
              <w:rPr>
                <w:rFonts w:ascii="Times New Roman" w:eastAsia="Times New Roman" w:hAnsi="Times New Roman" w:cs="Times New Roman"/>
                <w:color w:val="000000" w:themeColor="text1"/>
                <w:sz w:val="20"/>
                <w:szCs w:val="20"/>
              </w:rPr>
            </w:pPr>
          </w:p>
        </w:tc>
        <w:tc>
          <w:tcPr>
            <w:tcW w:w="4395" w:type="dxa"/>
          </w:tcPr>
          <w:p w14:paraId="60E3A99B"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Căn cước số 26/2023/QH15: Khoản 18 Điều 3 quy định: "</w:t>
            </w:r>
            <w:r w:rsidRPr="00214EA3">
              <w:rPr>
                <w:rFonts w:ascii="Times New Roman" w:eastAsia="Times New Roman" w:hAnsi="Times New Roman" w:cs="Times New Roman"/>
                <w:i/>
                <w:iCs/>
                <w:color w:val="000000" w:themeColor="text1"/>
                <w:sz w:val="26"/>
                <w:szCs w:val="26"/>
              </w:rPr>
              <w:t>Ứng dụng định danh quốc gia là ứng dụng trên thiết bị số do Bộ Công an tạo lập, phát triển để phục vụ hoạt động định danh điện tử và xác thực điện tử trong giải quyết thủ tục hành chính, dịch vụ công và các giao dịch khác trên môi trường điện tử; phát triển các tiện ích để phục vụ cơ quan, tổ chức, cá nhân</w:t>
            </w:r>
            <w:r w:rsidRPr="00214EA3">
              <w:rPr>
                <w:rFonts w:ascii="Times New Roman" w:eastAsia="Times New Roman" w:hAnsi="Times New Roman" w:cs="Times New Roman"/>
                <w:color w:val="000000" w:themeColor="text1"/>
                <w:sz w:val="26"/>
                <w:szCs w:val="26"/>
              </w:rPr>
              <w:t>". Đây là cơ sở pháp lý gốc của ứng dụng VNeID.</w:t>
            </w:r>
          </w:p>
          <w:p w14:paraId="18EE801E"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Luật Khám bệnh, chữa bệnh số 15/2023/QH15: quy định về hồ sơ bệnh án điện tử, là cơ sở để tích hợp dữ liệu y tế của công dân vào ứng dụng định danh quốc gia phục vụ tra cứu, sử dụng trong khám chữa bệnh.</w:t>
            </w:r>
          </w:p>
          <w:p w14:paraId="10B5CC74"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Bảo hiểm y tế (sửa đổi, bổ sung bởi Luật số 51/2024/QH15): quy định thẻ Bảo hiểm y tế điện tử có giá trị thay thế thẻ Bảo hiểm y tế giấy trong khám chữa bệnh; cơ sở để tích hợp thẻ BHYT điện tử vào ứng dụng định danh quốc gia.</w:t>
            </w:r>
          </w:p>
          <w:p w14:paraId="2971318B"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Bảo hiểm xã hội số 41/2024/QH15: quy định về sổ Bảo hiểm xã hội điện tử và việc chi trả các chế độ bảo hiểm xã hội, bảo hiểm thất nghiệp qua tài khoản cá nhân; cơ sở pháp lý để tích hợp sổ BHXH và nhận chi trả qua nền tảng định danh quốc gia.</w:t>
            </w:r>
          </w:p>
          <w:p w14:paraId="76866C32"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Luật Trật tự, an toàn giao thông đường bộ số 36/2024/QH15: quy định Giấy phép lái xe điện tử và đăng ký xe điện tử có giá trị pháp lý tương đương Giấy phép lái xe và Giấy đăng ký xe giấy; là </w:t>
            </w:r>
            <w:r w:rsidRPr="00214EA3">
              <w:rPr>
                <w:rFonts w:ascii="Times New Roman" w:eastAsia="Times New Roman" w:hAnsi="Times New Roman" w:cs="Times New Roman"/>
                <w:color w:val="000000" w:themeColor="text1"/>
                <w:sz w:val="26"/>
                <w:szCs w:val="26"/>
              </w:rPr>
              <w:lastRenderedPageBreak/>
              <w:t>cơ sở pháp lý để tích hợp các giấy tờ này vào ứng dụng định danh quốc gia.</w:t>
            </w:r>
          </w:p>
          <w:p w14:paraId="1DF1BE0A"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69/2024/NĐ-CP: Điều 14 quy định tài khoản định danh điện tử có giá trị pháp lý để chứng minh chủ thể danh tính điện tử và thực hiện các giao dịch trên môi trường điện tử; Khoản 3 Điều 14 quy định: "</w:t>
            </w:r>
            <w:r w:rsidRPr="00214EA3">
              <w:rPr>
                <w:rFonts w:ascii="Times New Roman" w:eastAsia="Times New Roman" w:hAnsi="Times New Roman" w:cs="Times New Roman"/>
                <w:i/>
                <w:iCs/>
                <w:color w:val="000000" w:themeColor="text1"/>
                <w:sz w:val="26"/>
                <w:szCs w:val="26"/>
              </w:rPr>
              <w:t>Việc sử dụng tài khoản định danh điện tử, dịch vụ xác thực điện tử có giá trị pháp lý để khẳng định, chứng minh chủ thể danh tính điện tử đã thực hiện và chấp thuận đối với giao dịch</w:t>
            </w:r>
            <w:r w:rsidRPr="00214EA3">
              <w:rPr>
                <w:rFonts w:ascii="Times New Roman" w:eastAsia="Times New Roman" w:hAnsi="Times New Roman" w:cs="Times New Roman"/>
                <w:color w:val="000000" w:themeColor="text1"/>
                <w:sz w:val="26"/>
                <w:szCs w:val="26"/>
              </w:rPr>
              <w:t>".</w:t>
            </w:r>
          </w:p>
          <w:p w14:paraId="5E14537B"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45/2020/NĐ-CP về thực hiện thủ tục hành chính trên môi trường điện tử: quy định Cổng dịch vụ công quốc gia và nền tảng trao đổi định danh; cơ sở để VNeID đóng vai trò công cụ truy cập dịch vụ công.</w:t>
            </w:r>
          </w:p>
          <w:p w14:paraId="4CD38B52"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Thông tư số 13/2025/TT-BYT ngày 21/7/2025 (thay thế Thông tư 46/2018/TT-BYT) quy định về hồ sơ bệnh án điện tử.</w:t>
            </w:r>
          </w:p>
        </w:tc>
        <w:tc>
          <w:tcPr>
            <w:tcW w:w="3827" w:type="dxa"/>
          </w:tcPr>
          <w:p w14:paraId="6A94A95F"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Điểm 2.2 đồng bộ với Luật Căn cước 26/2023 (Khoản 18 Điều 3 đã định nghĩa Ứng dụng định danh quốc gia), Nghị định 69/2024 và các luật chuyên ngành về tiện ích y tế, BHYT, BHXH, GPLX trên ứng dụng định danh quốc gia.</w:t>
            </w:r>
          </w:p>
          <w:p w14:paraId="64328085"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00795473"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Việc luật hóa 06 nhóm chức năng cốt lõi của VNeID ở cấp Luật </w:t>
            </w:r>
            <w:r w:rsidRPr="00214EA3">
              <w:rPr>
                <w:rFonts w:ascii="Times New Roman" w:eastAsia="Times New Roman" w:hAnsi="Times New Roman" w:cs="Times New Roman"/>
                <w:color w:val="000000" w:themeColor="text1"/>
                <w:sz w:val="26"/>
                <w:szCs w:val="26"/>
              </w:rPr>
              <w:lastRenderedPageBreak/>
              <w:t>ĐDXTĐT là sự nâng cấp pháp lý phù hợp, kế thừa và mở rộng các quy định hiện hành ở cấp Nghị định.</w:t>
            </w:r>
          </w:p>
        </w:tc>
        <w:tc>
          <w:tcPr>
            <w:tcW w:w="4111" w:type="dxa"/>
          </w:tcPr>
          <w:p w14:paraId="49A962FE"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xml:space="preserve">Đề xuất luật hóa ứng dụng VNeID với 06 nhóm chức năng cốt lõi: (1) Truy cập và quản lý dữ liệu của các cơ quan, tổ chức, cá nhân; (2) Cấp chữ ký số và phương thức xác thực khác phục vụ dịch vụ công, chuyển đổi số; (3) Cung cấp dịch vụ công; (4) Tích hợp nền tảng thanh toán quốc gia phục vụ an sinh xã hội; (5) Thiết lập kênh giao tiếp số Nhà nước và công </w:t>
            </w:r>
            <w:r w:rsidRPr="00214EA3">
              <w:rPr>
                <w:rFonts w:ascii="Times New Roman" w:eastAsia="Times New Roman" w:hAnsi="Times New Roman" w:cs="Times New Roman"/>
                <w:color w:val="000000" w:themeColor="text1"/>
                <w:sz w:val="26"/>
                <w:szCs w:val="26"/>
              </w:rPr>
              <w:lastRenderedPageBreak/>
              <w:t>dân; (6) Ghi nhận mức độ tham gia chuyển đổi số.</w:t>
            </w:r>
          </w:p>
          <w:p w14:paraId="0247925B"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0EC6511A" w14:textId="00AB1A77" w:rsidR="00DD2E54" w:rsidRPr="00214EA3" w:rsidRDefault="00B87CAC">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3F0A90" w:rsidRPr="00214EA3">
              <w:rPr>
                <w:rFonts w:ascii="Times New Roman" w:eastAsia="Times New Roman" w:hAnsi="Times New Roman" w:cs="Times New Roman"/>
                <w:color w:val="000000" w:themeColor="text1"/>
                <w:sz w:val="26"/>
                <w:szCs w:val="26"/>
              </w:rPr>
              <w:t xml:space="preserve"> này tạo bước chuyển quan trọng trong quản trị công, cho phép chi trả trực tiếp từ ngân sách đến người thụ hưởng, giảm khâu trung gian; tiết kiệm chi phí giấy tờ; tạo điều kiện chuyển toàn bộ ngân sách an sinh xã hội sang phương thức điện tử.</w:t>
            </w:r>
          </w:p>
        </w:tc>
      </w:tr>
      <w:tr w:rsidR="00214EA3" w:rsidRPr="00214EA3" w14:paraId="323A7488" w14:textId="77777777" w:rsidTr="00A131CE">
        <w:tc>
          <w:tcPr>
            <w:tcW w:w="2263" w:type="dxa"/>
            <w:vMerge w:val="restart"/>
          </w:tcPr>
          <w:p w14:paraId="5B695EF7"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sz w:val="20"/>
                <w:szCs w:val="20"/>
              </w:rPr>
            </w:pPr>
          </w:p>
        </w:tc>
        <w:tc>
          <w:tcPr>
            <w:tcW w:w="4395" w:type="dxa"/>
          </w:tcPr>
          <w:p w14:paraId="746D14CD"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Luật An toàn thông tin mạng số 86/2015/QH13 (còn hiệu lực đến 30/6/2026): Khoản 2 Điều 42 quy định </w:t>
            </w:r>
            <w:r w:rsidRPr="00214EA3">
              <w:rPr>
                <w:rFonts w:ascii="Times New Roman" w:eastAsia="Times New Roman" w:hAnsi="Times New Roman" w:cs="Times New Roman"/>
                <w:color w:val="000000" w:themeColor="text1"/>
                <w:sz w:val="26"/>
                <w:szCs w:val="26"/>
              </w:rPr>
              <w:lastRenderedPageBreak/>
              <w:t>về tiêu chuẩn nhân sự an toàn thông tin; Chương III về bảo vệ thông tin cá nhân trên mạng quy định nguyên tắc thu thập, sử dụng, cập nhật, sửa đổi, bảo vệ và xử lý thông tin cá nhân.</w:t>
            </w:r>
          </w:p>
          <w:p w14:paraId="17C3EBF8"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An ninh mạng số 24/2018/QH14 (còn hiệu lực đến 30/6/2026): Điều 9 quy định về hệ thống thông tin quan trọng về an ninh quốc gia; Điều 26 quy định bảo đảm an ninh thông tin trên không gian mạng, yêu cầu doanh nghiệp lưu trữ dữ liệu của người sử dụng dịch vụ tại Việt Nam và đặt chi nhánh, văn phòng đại diện tại Việt Nam.</w:t>
            </w:r>
          </w:p>
          <w:p w14:paraId="5240475C"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An ninh mạng số 116/2025/QH15 (hiệu lực 01/7/2026, hợp nhất Luật 86/2015 và Luật 24/2018): Bộ Công an là đầu mối thống nhất quản lý an ninh mạng; nâng cấp quy định về hệ thống thông tin quan trọng quốc gia, lưu trữ dữ liệu trong nước; quy định trách nhiệm định danh địa chỉ IP, xác thực thông tin đăng ký tài khoản số của người sử dụng dịch vụ.</w:t>
            </w:r>
          </w:p>
          <w:p w14:paraId="06FE6C17"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Luật Bảo vệ dữ liệu cá nhân số 91/2025/QH15: quy định nguyên tắc xử lý dữ liệu cá nhân; dữ liệu sinh trắc học </w:t>
            </w:r>
            <w:r w:rsidRPr="00214EA3">
              <w:rPr>
                <w:rFonts w:ascii="Times New Roman" w:eastAsia="Times New Roman" w:hAnsi="Times New Roman" w:cs="Times New Roman"/>
                <w:color w:val="000000" w:themeColor="text1"/>
                <w:sz w:val="26"/>
                <w:szCs w:val="26"/>
              </w:rPr>
              <w:lastRenderedPageBreak/>
              <w:t>là dữ liệu cá nhân nhạy cảm, được bảo vệ ở mức cao nhất; quyền của chủ thể dữ liệu bao gồm quyền được biết, quyền đồng ý, quyền truy cập, quyền yêu cầu chỉnh sửa, quyền yêu cầu xóa, quyền rút lại đồng ý.</w:t>
            </w:r>
          </w:p>
          <w:p w14:paraId="698575C3"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Bảo vệ bí mật nhà nước số 117/2025/QH15 (hiệu lực 01/3/2026, thay thế Luật số 29/2018/QH14): quy định phạm vi bí mật nhà nước và các biện pháp bảo vệ.</w:t>
            </w:r>
          </w:p>
          <w:p w14:paraId="400397A6"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Lưu trữ số 33/2024/QH15: quy định nguyên tắc lưu trữ tài liệu điện tử; là cơ sở cho việc xác định thời hạn lưu nhật ký xác thực điện tử tối thiểu 05 năm.</w:t>
            </w:r>
          </w:p>
          <w:p w14:paraId="64DDA507"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356/2025/NĐ-CP (hiệu lực 01/01/2026, thay thế Nghị định 13/2023/NĐ-CP) hướng dẫn Luật Bảo vệ dữ liệu cá nhân: chi tiết quyền của chủ thể dữ liệu, đánh giá tác động bảo vệ dữ liệu cá nhân, biện pháp bảo vệ phù hợp với rủi ro.</w:t>
            </w:r>
          </w:p>
          <w:p w14:paraId="2610E2B3"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Nghị định số 53/2022/NĐ-CP hướng dẫn Luật An ninh mạng 2018: quy định cụ thể về lưu trữ dữ liệu, đặt chi nhánh </w:t>
            </w:r>
            <w:r w:rsidRPr="00214EA3">
              <w:rPr>
                <w:rFonts w:ascii="Times New Roman" w:eastAsia="Times New Roman" w:hAnsi="Times New Roman" w:cs="Times New Roman"/>
                <w:color w:val="000000" w:themeColor="text1"/>
                <w:sz w:val="26"/>
                <w:szCs w:val="26"/>
              </w:rPr>
              <w:lastRenderedPageBreak/>
              <w:t>tại Việt Nam đối với doanh nghiệp nước ngoài cung cấp dịch vụ trên không gian mạng tại Việt Nam.</w:t>
            </w:r>
          </w:p>
          <w:p w14:paraId="70D5A8BE"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63/2026/NĐ-CP hướng dẫn Luật Bảo vệ bí mật nhà nước năm 2025.</w:t>
            </w:r>
          </w:p>
        </w:tc>
        <w:tc>
          <w:tcPr>
            <w:tcW w:w="3827" w:type="dxa"/>
          </w:tcPr>
          <w:p w14:paraId="4FB7784F"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xml:space="preserve">Điểm 2.3 đồng bộ với hệ thống pháp luật về an ninh mạng và bảo vệ dữ liệu (Luật ANM 116/2025, </w:t>
            </w:r>
            <w:r w:rsidRPr="00214EA3">
              <w:rPr>
                <w:rFonts w:ascii="Times New Roman" w:eastAsia="Times New Roman" w:hAnsi="Times New Roman" w:cs="Times New Roman"/>
                <w:color w:val="000000" w:themeColor="text1"/>
                <w:sz w:val="26"/>
                <w:szCs w:val="26"/>
              </w:rPr>
              <w:lastRenderedPageBreak/>
              <w:t>Luật BVDLCN 91/2025, Luật BVBMNN 117/2025, NĐ 356/2025, NĐ 53/2022).</w:t>
            </w:r>
          </w:p>
          <w:p w14:paraId="4C8F4F22" w14:textId="77777777" w:rsidR="00282DF7" w:rsidRPr="00214EA3" w:rsidRDefault="00282DF7">
            <w:pPr>
              <w:spacing w:before="120" w:after="120" w:line="240" w:lineRule="auto"/>
              <w:rPr>
                <w:rFonts w:ascii="Times New Roman" w:eastAsia="Times New Roman" w:hAnsi="Times New Roman" w:cs="Times New Roman"/>
                <w:color w:val="000000" w:themeColor="text1"/>
              </w:rPr>
            </w:pPr>
          </w:p>
          <w:p w14:paraId="30DB9C6D"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Việc luật hóa nguyên tắc chủ quyền công nghệ, chủ quyền dữ liệu trong hệ thống ĐDXTĐT bảo đảm phù hợp với các luật mới có hiệu lực từ 01/01/2026 và 01/7/2026.</w:t>
            </w:r>
          </w:p>
        </w:tc>
        <w:tc>
          <w:tcPr>
            <w:tcW w:w="4111" w:type="dxa"/>
          </w:tcPr>
          <w:p w14:paraId="740CC99A" w14:textId="77777777"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xml:space="preserve">Đề xuất luật hóa nguyên tắc chủ quyền công nghệ, chủ quyền dữ liệu trong hệ thống ĐDXTĐT trên nền </w:t>
            </w:r>
            <w:r w:rsidRPr="00214EA3">
              <w:rPr>
                <w:rFonts w:ascii="Times New Roman" w:eastAsia="Times New Roman" w:hAnsi="Times New Roman" w:cs="Times New Roman"/>
                <w:color w:val="000000" w:themeColor="text1"/>
                <w:sz w:val="26"/>
                <w:szCs w:val="26"/>
              </w:rPr>
              <w:lastRenderedPageBreak/>
              <w:t>tảng công nghệ tự chủ; yêu cầu lưu trữ dữ liệu tại Việt Nam đối với các đối tượng cốt lõi, dữ liệu quan trọng quốc gia.</w:t>
            </w:r>
          </w:p>
          <w:p w14:paraId="299F0824" w14:textId="77777777" w:rsidR="00282DF7" w:rsidRPr="00214EA3" w:rsidRDefault="00282DF7">
            <w:pPr>
              <w:spacing w:before="120" w:after="120" w:line="240" w:lineRule="auto"/>
              <w:rPr>
                <w:rFonts w:ascii="Times New Roman" w:eastAsia="Times New Roman" w:hAnsi="Times New Roman" w:cs="Times New Roman"/>
                <w:color w:val="000000" w:themeColor="text1"/>
              </w:rPr>
            </w:pPr>
          </w:p>
          <w:p w14:paraId="550815D5" w14:textId="3F22FE01" w:rsidR="00282DF7" w:rsidRPr="00214EA3" w:rsidRDefault="00282DF7">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 này nâng cao mức độ an toàn, giảm nguy cơ bị khai thác từ các hoạt động thương mại bên ngoài, qua đó nâng cao khả năng phòng thủ trước các nguy cơ tấn công mạng và bảo đảm an ninh dữ liệu công dân; bảo đảm chủ quyền dữ liệu.</w:t>
            </w:r>
          </w:p>
        </w:tc>
      </w:tr>
      <w:tr w:rsidR="00214EA3" w:rsidRPr="00214EA3" w14:paraId="50F26ACE" w14:textId="77777777" w:rsidTr="00A131CE">
        <w:tc>
          <w:tcPr>
            <w:tcW w:w="2263" w:type="dxa"/>
            <w:vMerge/>
          </w:tcPr>
          <w:p w14:paraId="001D3EEA" w14:textId="77777777" w:rsidR="00282DF7" w:rsidRPr="00214EA3" w:rsidRDefault="00282DF7">
            <w:pPr>
              <w:spacing w:before="120" w:after="120" w:line="240" w:lineRule="auto"/>
              <w:jc w:val="both"/>
              <w:rPr>
                <w:rFonts w:ascii="Times New Roman" w:eastAsia="Times New Roman" w:hAnsi="Times New Roman" w:cs="Times New Roman"/>
                <w:b/>
                <w:bCs/>
                <w:color w:val="000000" w:themeColor="text1"/>
                <w:sz w:val="26"/>
                <w:szCs w:val="26"/>
              </w:rPr>
            </w:pPr>
          </w:p>
        </w:tc>
        <w:tc>
          <w:tcPr>
            <w:tcW w:w="4395" w:type="dxa"/>
          </w:tcPr>
          <w:p w14:paraId="7D035798" w14:textId="6E24B5ED" w:rsidR="00282DF7" w:rsidRPr="00214EA3" w:rsidRDefault="00282DF7">
            <w:pPr>
              <w:spacing w:before="120" w:after="12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Nghị quyết số 66.7/2025/NQ-CP ngày 15/11/2025 của Chính phủ quy định việc thay thế hoặc cắt giảm thành phần hồ sơ thủ tục hành chính bằng thông tin được khai thác từ cơ sở dữ liệu quốc gia, cơ sở dữ liệu chuyên ngành; quy định trách nhiệm của cơ quan giải quyết thủ tục hành chính trong khai thác, sử dụng thông tin đã có để thay thế giấy tờ, tài liệu trong hồ sơ.</w:t>
            </w:r>
          </w:p>
        </w:tc>
        <w:tc>
          <w:tcPr>
            <w:tcW w:w="3827" w:type="dxa"/>
          </w:tcPr>
          <w:p w14:paraId="04445218" w14:textId="4B8B60CF" w:rsidR="00282DF7" w:rsidRPr="00214EA3" w:rsidRDefault="00282DF7">
            <w:pPr>
              <w:spacing w:before="120" w:after="120" w:line="240" w:lineRule="auto"/>
              <w:jc w:val="both"/>
              <w:rPr>
                <w:rFonts w:ascii="Times New Roman" w:eastAsia="Times New Roman" w:hAnsi="Times New Roman" w:cs="Times New Roman"/>
                <w:color w:val="000000" w:themeColor="text1"/>
                <w:spacing w:val="-2"/>
                <w:sz w:val="26"/>
                <w:szCs w:val="26"/>
              </w:rPr>
            </w:pPr>
            <w:r w:rsidRPr="00214EA3">
              <w:rPr>
                <w:rFonts w:ascii="Times New Roman" w:eastAsia="Times New Roman" w:hAnsi="Times New Roman" w:cs="Times New Roman"/>
                <w:color w:val="000000" w:themeColor="text1"/>
                <w:spacing w:val="-2"/>
                <w:sz w:val="26"/>
                <w:szCs w:val="26"/>
              </w:rPr>
              <w:t>Chính sách 2 thống nhất với Nghị quyết số 66.7/2025/NQ-CP về định hướng khai thác, tái sử dụng dữ liệu để thay thế, cắt giảm thành phần hồ sơ và đơn giản hóa thủ tục hành chính. Việc xây dựng Cơ sở dữ liệu quốc gia về định danh và xác thực điện tử, kết nối với các cơ sở dữ liệu quốc gia, cơ sở dữ liệu chuyên ngành và phát triển Ứng dụng định danh quốc gia tạo hạ tầng phục vụ xác minh, tái sử dụng thông tin, hạn chế yêu cầu người dân, doanh nghiệp kê khai hoặc cung cấp lại dữ liệu đã có.</w:t>
            </w:r>
          </w:p>
        </w:tc>
        <w:tc>
          <w:tcPr>
            <w:tcW w:w="4111" w:type="dxa"/>
          </w:tcPr>
          <w:p w14:paraId="4C0E0569" w14:textId="4AB91396" w:rsidR="00282DF7" w:rsidRPr="00214EA3" w:rsidRDefault="00282DF7">
            <w:pPr>
              <w:spacing w:before="120" w:after="120" w:line="240" w:lineRule="auto"/>
              <w:jc w:val="both"/>
              <w:rPr>
                <w:rFonts w:ascii="Times New Roman" w:eastAsia="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Tiếp tục hoàn thiện Chính sách 2 theo hướng bảo đảm dữ liệu định danh và xác thực điện tử được kết nối, chia sẻ, khai thác và tái sử dụng có kiểm soát; không thu thập lại dữ liệu đã có; hỗ trợ cắt giảm thành phần hồ sơ, giấy tờ và chi phí tuân thủ trong thực hiện thủ tục hành chính, dịch vụ công.</w:t>
            </w:r>
          </w:p>
        </w:tc>
      </w:tr>
      <w:tr w:rsidR="00214EA3" w:rsidRPr="00214EA3" w14:paraId="0A3182CF" w14:textId="77777777" w:rsidTr="00A131CE">
        <w:tc>
          <w:tcPr>
            <w:tcW w:w="2263" w:type="dxa"/>
          </w:tcPr>
          <w:p w14:paraId="4744D16C" w14:textId="26D3346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b/>
                <w:bCs/>
                <w:color w:val="000000" w:themeColor="text1"/>
                <w:sz w:val="26"/>
                <w:szCs w:val="26"/>
              </w:rPr>
              <w:t xml:space="preserve">CHÍNH SÁCH 3: </w:t>
            </w:r>
            <w:r w:rsidRPr="00214EA3">
              <w:rPr>
                <w:rFonts w:ascii="Times New Roman" w:eastAsia="Times New Roman" w:hAnsi="Times New Roman" w:cs="Times New Roman"/>
                <w:color w:val="000000" w:themeColor="text1"/>
                <w:sz w:val="26"/>
                <w:szCs w:val="26"/>
              </w:rPr>
              <w:t xml:space="preserve">Phát triển dịch vụ định danh, xác thực điện tử theo mô hình Nhà nước thiết </w:t>
            </w:r>
            <w:r w:rsidRPr="00214EA3">
              <w:rPr>
                <w:rFonts w:ascii="Times New Roman" w:eastAsia="Times New Roman" w:hAnsi="Times New Roman" w:cs="Times New Roman"/>
                <w:color w:val="000000" w:themeColor="text1"/>
                <w:sz w:val="26"/>
                <w:szCs w:val="26"/>
              </w:rPr>
              <w:lastRenderedPageBreak/>
              <w:t>lập</w:t>
            </w:r>
            <w:r w:rsidR="00DA7526" w:rsidRPr="00214EA3">
              <w:rPr>
                <w:rFonts w:ascii="Times New Roman" w:eastAsia="Times New Roman" w:hAnsi="Times New Roman" w:cs="Times New Roman"/>
                <w:color w:val="000000" w:themeColor="text1"/>
                <w:sz w:val="26"/>
                <w:szCs w:val="26"/>
              </w:rPr>
              <w:t xml:space="preserve"> nền tảng, điều phối liên thông,</w:t>
            </w:r>
            <w:r w:rsidRPr="00214EA3">
              <w:rPr>
                <w:rFonts w:ascii="Times New Roman" w:eastAsia="Times New Roman" w:hAnsi="Times New Roman" w:cs="Times New Roman"/>
                <w:color w:val="000000" w:themeColor="text1"/>
                <w:sz w:val="26"/>
                <w:szCs w:val="26"/>
              </w:rPr>
              <w:t xml:space="preserve"> tổ chức, doanh n</w:t>
            </w:r>
            <w:r w:rsidR="00DA7526" w:rsidRPr="00214EA3">
              <w:rPr>
                <w:rFonts w:ascii="Times New Roman" w:eastAsia="Times New Roman" w:hAnsi="Times New Roman" w:cs="Times New Roman"/>
                <w:color w:val="000000" w:themeColor="text1"/>
                <w:sz w:val="26"/>
                <w:szCs w:val="26"/>
              </w:rPr>
              <w:t>ghiệp tham gia cung cấp dịch vụ</w:t>
            </w:r>
            <w:r w:rsidRPr="00214EA3">
              <w:rPr>
                <w:rFonts w:ascii="Times New Roman" w:eastAsia="Times New Roman" w:hAnsi="Times New Roman" w:cs="Times New Roman"/>
                <w:color w:val="000000" w:themeColor="text1"/>
                <w:sz w:val="26"/>
                <w:szCs w:val="26"/>
              </w:rPr>
              <w:t xml:space="preserve"> và công nhận hợp tác quốc tế</w:t>
            </w:r>
          </w:p>
        </w:tc>
        <w:tc>
          <w:tcPr>
            <w:tcW w:w="4395" w:type="dxa"/>
          </w:tcPr>
          <w:p w14:paraId="3622F9E5"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Luật Giao dịch điện tử số 20/2023/QH15: Khoản 5 Điều 3 quy định: "</w:t>
            </w:r>
            <w:r w:rsidRPr="00214EA3">
              <w:rPr>
                <w:rFonts w:ascii="Times New Roman" w:eastAsia="Times New Roman" w:hAnsi="Times New Roman" w:cs="Times New Roman"/>
                <w:i/>
                <w:iCs/>
                <w:color w:val="000000" w:themeColor="text1"/>
                <w:sz w:val="26"/>
                <w:szCs w:val="26"/>
              </w:rPr>
              <w:t xml:space="preserve">Chứng thư điện tử là giấy phép, giấy chứng nhận, chứng chỉ, văn bản xác nhận, văn bản chấp thuận khác do cơ </w:t>
            </w:r>
            <w:r w:rsidRPr="00214EA3">
              <w:rPr>
                <w:rFonts w:ascii="Times New Roman" w:eastAsia="Times New Roman" w:hAnsi="Times New Roman" w:cs="Times New Roman"/>
                <w:i/>
                <w:iCs/>
                <w:color w:val="000000" w:themeColor="text1"/>
                <w:sz w:val="26"/>
                <w:szCs w:val="26"/>
              </w:rPr>
              <w:lastRenderedPageBreak/>
              <w:t>quan, tổ chức có thẩm quyền phát hành dưới dạng dữ liệu điện tử</w:t>
            </w:r>
            <w:r w:rsidRPr="00214EA3">
              <w:rPr>
                <w:rFonts w:ascii="Times New Roman" w:eastAsia="Times New Roman" w:hAnsi="Times New Roman" w:cs="Times New Roman"/>
                <w:color w:val="000000" w:themeColor="text1"/>
                <w:sz w:val="26"/>
                <w:szCs w:val="26"/>
              </w:rPr>
              <w:t>". Khoản 1 Điều 28 quy định dịch vụ tin cậy bao gồm: dịch vụ cấp dấu thời gian; dịch vụ chứng thực thông điệp dữ liệu; dịch vụ chứng thực chữ ký số công cộng. Khoản 3 Điều 4 quy định nguyên tắc khuyến khích cơ quan, tổ chức, cá nhân đầu tư, ứng dụng giao dịch điện tử; phát triển dịch vụ tin cậy.</w:t>
            </w:r>
          </w:p>
          <w:p w14:paraId="76D9A1FA"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Bảo vệ dữ liệu cá nhân số 91/2025/QH15: quy định quyền của chủ thể dữ liệu bao gồm quyền được biết, quyền đồng ý, quyền truy cập, quyền yêu cầu chỉnh sửa, quyền yêu cầu xóa, quyền rút lại đồng ý — đây là cơ sở pháp lý cho mô hình tự chủ trao quyền tự quản lý danh tính số cho chủ thể dữ liệu.</w:t>
            </w:r>
          </w:p>
          <w:p w14:paraId="1627E138"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Công nghiệp công nghệ số số 71/2025/QH15: quy định cơ chế thử nghiệm có kiểm soát (sandbox) cho các sản phẩm, dịch vụ, mô hình kinh doanh ứng dụng công nghệ số mới.</w:t>
            </w:r>
          </w:p>
          <w:p w14:paraId="12F7DC51"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Luật Khoa học, công nghệ và đổi mới sáng tạo năm 2025 (hiệu lực 01/01/2026): quy định khung pháp lý sandbox và nguyên tắc chủ quyền công </w:t>
            </w:r>
            <w:r w:rsidRPr="00214EA3">
              <w:rPr>
                <w:rFonts w:ascii="Times New Roman" w:eastAsia="Times New Roman" w:hAnsi="Times New Roman" w:cs="Times New Roman"/>
                <w:color w:val="000000" w:themeColor="text1"/>
                <w:sz w:val="26"/>
                <w:szCs w:val="26"/>
              </w:rPr>
              <w:lastRenderedPageBreak/>
              <w:t>nghệ trong các lĩnh vực khoa học, công nghệ tiên phong.</w:t>
            </w:r>
          </w:p>
          <w:p w14:paraId="49CBC107"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23/2025/NĐ-CP (hiệu lực 10/4/2025) quy định chi tiết về chữ ký điện tử và dịch vụ tin cậy: Điều 24 về dịch vụ cấp dấu thời gian; Điều 25 về dịch vụ chứng thực thông điệp dữ liệu (bao gồm lưu trữ bằng chứng danh tính người gửi đã được xác minh) — nền tảng kỹ thuật cho Chứng thư điện tử có thể xác minh (Verifiable Credentials).</w:t>
            </w:r>
          </w:p>
          <w:p w14:paraId="28B90CD3"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68/2024/NĐ-CP về chữ ký số chuyên dùng công vụ: quy định việc cấp, sử dụng và quản lý chữ ký số chuyên dùng công vụ trong các cơ quan, tổ chức nhà nước.</w:t>
            </w:r>
          </w:p>
          <w:p w14:paraId="5E2DC7FA"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69/2024/NĐ-CP: Khoản 3 Điều 14 quy định: "Việc sử dụng tài khoản định danh điện tử, dịch vụ xác thực điện tử có giá trị pháp lý để khẳng định, chứng minh chủ thể danh tính điện tử đã thực hiện và chấp thuận đối với giao dịch".</w:t>
            </w:r>
          </w:p>
          <w:p w14:paraId="1D5DAD0C"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Luật Trí tuệ nhân tạo số 134/2025/QH15: quy định nguyên tắc minh bạch và trách nhiệm giải trình đối </w:t>
            </w:r>
            <w:r w:rsidRPr="00214EA3">
              <w:rPr>
                <w:rFonts w:ascii="Times New Roman" w:eastAsia="Times New Roman" w:hAnsi="Times New Roman" w:cs="Times New Roman"/>
                <w:color w:val="000000" w:themeColor="text1"/>
                <w:sz w:val="26"/>
                <w:szCs w:val="26"/>
              </w:rPr>
              <w:lastRenderedPageBreak/>
              <w:t>với hệ thống trí tuệ nhân tạo — phù hợp với triết lý của mô hình tự chủ về minh bạch trong xác thực điện tử.</w:t>
            </w:r>
          </w:p>
          <w:p w14:paraId="2DC45610"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356/2025/NĐ-CP (hiệu lực 01/01/2026, thay thế Nghị định 13/2023/NĐ-CP): quy định nguyên tắc tỷ lệ trong xử lý dữ liệu cá nhân; nguyên tắc tối thiểu hóa dữ liệu chia sẻ — phù hợp với triết lý của mô hình tự chủ về quyền tự quyết của chủ thể đối với phạm vi dữ liệu được chia sẻ.</w:t>
            </w:r>
          </w:p>
        </w:tc>
        <w:tc>
          <w:tcPr>
            <w:tcW w:w="3827" w:type="dxa"/>
          </w:tcPr>
          <w:p w14:paraId="60268033"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spacing w:val="-2"/>
              </w:rPr>
            </w:pPr>
            <w:r w:rsidRPr="00214EA3">
              <w:rPr>
                <w:rFonts w:ascii="Times New Roman" w:eastAsia="Times New Roman" w:hAnsi="Times New Roman" w:cs="Times New Roman"/>
                <w:color w:val="000000" w:themeColor="text1"/>
                <w:spacing w:val="-2"/>
                <w:sz w:val="26"/>
                <w:szCs w:val="26"/>
              </w:rPr>
              <w:lastRenderedPageBreak/>
              <w:t xml:space="preserve">Điểm 3.1 đồng bộ với Luật Giao dịch điện tử 20/2023 (định nghĩa chứng thư điện tử, dịch vụ tin cậy), Luật BVDLCN 91/2025 (quyền chủ thể dữ liệu), Luật CNCNS và </w:t>
            </w:r>
            <w:r w:rsidRPr="00214EA3">
              <w:rPr>
                <w:rFonts w:ascii="Times New Roman" w:eastAsia="Times New Roman" w:hAnsi="Times New Roman" w:cs="Times New Roman"/>
                <w:color w:val="000000" w:themeColor="text1"/>
                <w:spacing w:val="-2"/>
                <w:sz w:val="26"/>
                <w:szCs w:val="26"/>
              </w:rPr>
              <w:lastRenderedPageBreak/>
              <w:t>Luật KH&amp;CN ĐMST (sandbox), Nghị định 23/2025 và Nghị định 69/2024.</w:t>
            </w:r>
          </w:p>
          <w:p w14:paraId="4010FCF1" w14:textId="77777777" w:rsidR="00DD2E54" w:rsidRPr="00214EA3" w:rsidRDefault="00DD2E54">
            <w:pPr>
              <w:spacing w:before="120" w:after="120" w:line="240" w:lineRule="auto"/>
              <w:rPr>
                <w:rFonts w:ascii="Times New Roman" w:eastAsia="Times New Roman" w:hAnsi="Times New Roman" w:cs="Times New Roman"/>
                <w:color w:val="000000" w:themeColor="text1"/>
                <w:spacing w:val="-2"/>
              </w:rPr>
            </w:pPr>
          </w:p>
          <w:p w14:paraId="66C49047" w14:textId="458844A4" w:rsidR="00DD2E54" w:rsidRPr="00214EA3" w:rsidRDefault="0075365F">
            <w:pPr>
              <w:spacing w:before="120" w:after="120" w:line="240" w:lineRule="auto"/>
              <w:jc w:val="both"/>
              <w:rPr>
                <w:rFonts w:ascii="Times New Roman" w:eastAsia="Times New Roman" w:hAnsi="Times New Roman" w:cs="Times New Roman"/>
                <w:color w:val="000000" w:themeColor="text1"/>
                <w:spacing w:val="-2"/>
                <w:sz w:val="26"/>
                <w:szCs w:val="26"/>
              </w:rPr>
            </w:pPr>
            <w:r w:rsidRPr="00214EA3">
              <w:rPr>
                <w:rFonts w:ascii="Times New Roman" w:eastAsia="Times New Roman" w:hAnsi="Times New Roman" w:cs="Times New Roman"/>
                <w:color w:val="000000" w:themeColor="text1"/>
                <w:spacing w:val="-2"/>
                <w:sz w:val="26"/>
                <w:szCs w:val="26"/>
              </w:rPr>
              <w:t>Việc luật hóa các mô hình định danh và xác thực điện tử đa dạng và cơ chế xã hội hóa dịch vụ là sự cụ thể hóa các luật trên ở cấp Luật chuyên ngành ĐDXTĐT</w:t>
            </w:r>
            <w:r w:rsidR="003F0A90" w:rsidRPr="00214EA3">
              <w:rPr>
                <w:rFonts w:ascii="Times New Roman" w:eastAsia="Times New Roman" w:hAnsi="Times New Roman" w:cs="Times New Roman"/>
                <w:color w:val="000000" w:themeColor="text1"/>
                <w:spacing w:val="-2"/>
                <w:sz w:val="26"/>
                <w:szCs w:val="26"/>
              </w:rPr>
              <w:t>.</w:t>
            </w:r>
            <w:r w:rsidRPr="00214EA3">
              <w:rPr>
                <w:rFonts w:ascii="Times New Roman" w:eastAsia="Times New Roman" w:hAnsi="Times New Roman" w:cs="Times New Roman"/>
                <w:color w:val="000000" w:themeColor="text1"/>
                <w:spacing w:val="-2"/>
                <w:sz w:val="26"/>
                <w:szCs w:val="26"/>
              </w:rPr>
              <w:t xml:space="preserve"> Qua đối chiếu</w:t>
            </w:r>
            <w:r w:rsidR="003F0A90" w:rsidRPr="00214EA3">
              <w:rPr>
                <w:rFonts w:ascii="Times New Roman" w:eastAsia="Times New Roman" w:hAnsi="Times New Roman" w:cs="Times New Roman"/>
                <w:color w:val="000000" w:themeColor="text1"/>
                <w:spacing w:val="-2"/>
                <w:sz w:val="26"/>
                <w:szCs w:val="26"/>
              </w:rPr>
              <w:t>,</w:t>
            </w:r>
            <w:r w:rsidRPr="00214EA3">
              <w:rPr>
                <w:rFonts w:ascii="Times New Roman" w:eastAsia="Times New Roman" w:hAnsi="Times New Roman" w:cs="Times New Roman"/>
                <w:color w:val="000000" w:themeColor="text1"/>
                <w:spacing w:val="-2"/>
                <w:sz w:val="26"/>
                <w:szCs w:val="26"/>
              </w:rPr>
              <w:t xml:space="preserve"> Chính sách này không quy định lại chữ ký điện tử, dịch vụ tin cậy, giao dịch điện tử (thuộc Luật Giao dịch điện tử năm 2023) mà kế thừa cơ chế công nhận của luật này; không điều chỉnh ngành công nghiệp công nghệ số (Luật Công nghiệp công nghệ số năm 2025) mà chỉ bổ sung điều kiện, tiêu chuẩn kỹ thuật chuyên ngành cho dịch vụ định danh, xác thực điện tử; chỉ quy định ứng dụng trí tuệ nhân tạo trong định danh, xác thực điện tử theo khung quản lý rủi ro của Luật Trí tuệ nhân tạo năm 2025. Mô hình Nhà nước do các bộ thực hiện trong phạm vi chức năng nên không làm </w:t>
            </w:r>
            <w:r w:rsidRPr="00214EA3">
              <w:rPr>
                <w:rFonts w:ascii="Times New Roman" w:eastAsia="Times New Roman" w:hAnsi="Times New Roman" w:cs="Times New Roman"/>
                <w:color w:val="000000" w:themeColor="text1"/>
                <w:spacing w:val="-2"/>
                <w:sz w:val="26"/>
                <w:szCs w:val="26"/>
              </w:rPr>
              <w:lastRenderedPageBreak/>
              <w:t>thay đổi nhiệm vụ quản lý nhà nước của các bộ, ngành.</w:t>
            </w:r>
          </w:p>
        </w:tc>
        <w:tc>
          <w:tcPr>
            <w:tcW w:w="4111" w:type="dxa"/>
          </w:tcPr>
          <w:p w14:paraId="1DDFCEC2"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 xml:space="preserve">Đề xuất luật hóa quy định đồng bộ dịch vụ định danh, xác thực điện tử theo cơ chế xã hội hóa và liên thông, hợp tác quốc tế", trong đó: (i) cho phép các tổ chức, doanh nghiệp đủ </w:t>
            </w:r>
            <w:r w:rsidRPr="00214EA3">
              <w:rPr>
                <w:rFonts w:ascii="Times New Roman" w:eastAsia="Times New Roman" w:hAnsi="Times New Roman" w:cs="Times New Roman"/>
                <w:color w:val="000000" w:themeColor="text1"/>
                <w:sz w:val="26"/>
                <w:szCs w:val="26"/>
              </w:rPr>
              <w:lastRenderedPageBreak/>
              <w:t>điều kiện tham gia cung cấp dịch vụ trong phân khúc thương mại, dân sự; (ii) đa dạng mô hình định danh, xác thực gồm cả mô hình tự chủ không qua trung gian; (iii) thiết lập cơ chế thử nghiệm có kiểm soát (sandbox).</w:t>
            </w:r>
          </w:p>
          <w:p w14:paraId="2E0BAF96"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115BCF6F"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 này chuyển dịch từ mô hình cung cấp dịch vụ tập trung sang mô hình xã hội hóa, tạo nên thị trường có kiểm soát, huy động nguồn lực xã hội, giảm áp lực đầu tư công; tạo điều kiện cho doanh nghiệp trong nước; sandbox cho phép triển khai công nghệ mới (AI, blockchain) trong môi trường an toàn.</w:t>
            </w:r>
          </w:p>
        </w:tc>
      </w:tr>
      <w:tr w:rsidR="00214EA3" w:rsidRPr="00214EA3" w14:paraId="63C329C9" w14:textId="77777777" w:rsidTr="00A131CE">
        <w:tc>
          <w:tcPr>
            <w:tcW w:w="2263" w:type="dxa"/>
          </w:tcPr>
          <w:p w14:paraId="2873FC7E" w14:textId="77777777" w:rsidR="00DD2E54" w:rsidRPr="00214EA3" w:rsidRDefault="00DD2E54">
            <w:pPr>
              <w:spacing w:before="120" w:after="120" w:line="240" w:lineRule="auto"/>
              <w:jc w:val="both"/>
              <w:rPr>
                <w:rFonts w:ascii="Times New Roman" w:eastAsia="Times New Roman" w:hAnsi="Times New Roman" w:cs="Times New Roman"/>
                <w:color w:val="000000" w:themeColor="text1"/>
                <w:sz w:val="20"/>
                <w:szCs w:val="20"/>
              </w:rPr>
            </w:pPr>
          </w:p>
        </w:tc>
        <w:tc>
          <w:tcPr>
            <w:tcW w:w="4395" w:type="dxa"/>
          </w:tcPr>
          <w:p w14:paraId="04AA3795"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Giao dịch điện tử số 20/2023/QH15: Điều 26 quy định về công nhận chữ ký điện tử nước ngoài, chứng thư chữ ký điện tử nước ngoài. Theo đó, chữ ký điện tử nước ngoài, chứng thư chữ ký điện tử nước ngoài được cơ quan có thẩm quyền của Việt Nam công nhận nếu đáp ứng các điều kiện về độ tin cậy và phù hợp với các điều ước quốc tế mà Việt Nam là thành viên; đây là cơ sở pháp lý nền tảng cho cơ chế liên thông quốc tế trong định danh và xác thực điện tử.</w:t>
            </w:r>
          </w:p>
          <w:p w14:paraId="1122FF63"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Luật Nhập cảnh, xuất cảnh, quá cảnh, cư trú của người nước ngoài tại Việt </w:t>
            </w:r>
            <w:r w:rsidRPr="00214EA3">
              <w:rPr>
                <w:rFonts w:ascii="Times New Roman" w:eastAsia="Times New Roman" w:hAnsi="Times New Roman" w:cs="Times New Roman"/>
                <w:color w:val="000000" w:themeColor="text1"/>
                <w:sz w:val="26"/>
                <w:szCs w:val="26"/>
              </w:rPr>
              <w:lastRenderedPageBreak/>
              <w:t>Nam số 47/2014/QH13 (sửa đổi bởi Luật số 51/2019/QH14, Luật số 23/2023/QH15): quy định các cơ quan có thẩm quyền cấp tài khoản định danh điện tử cho người nước ngoài nhập cảnh, cư trú tại Việt Nam, là cơ sở pháp lý cho việc liên thông danh tính điện tử với công dân nước ngoài.</w:t>
            </w:r>
          </w:p>
          <w:p w14:paraId="06AC2B8C"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69/2024/NĐ-CP: Khoản 4 Điều 14 quy định: "</w:t>
            </w:r>
            <w:r w:rsidRPr="00214EA3">
              <w:rPr>
                <w:rFonts w:ascii="Times New Roman" w:eastAsia="Times New Roman" w:hAnsi="Times New Roman" w:cs="Times New Roman"/>
                <w:i/>
                <w:iCs/>
                <w:color w:val="000000" w:themeColor="text1"/>
                <w:sz w:val="26"/>
                <w:szCs w:val="26"/>
              </w:rPr>
              <w:t>Cơ quan quản lý định danh và xác thực điện tử thực hiện kết nối, chia sẻ, xác thực dữ liệu để chủ thể danh tính điện tử sử dụng tài khoản định danh điện tử ở các quốc gia khác theo điều ước quốc tế mà Việt Nam ký kết</w:t>
            </w:r>
            <w:r w:rsidRPr="00214EA3">
              <w:rPr>
                <w:rFonts w:ascii="Times New Roman" w:eastAsia="Times New Roman" w:hAnsi="Times New Roman" w:cs="Times New Roman"/>
                <w:color w:val="000000" w:themeColor="text1"/>
                <w:sz w:val="26"/>
                <w:szCs w:val="26"/>
              </w:rPr>
              <w:t>". Quy định này xác lập cơ chế công nhận lẫn nhau danh tính điện tử với các quốc gia trên cơ sở các điều ước quốc tế.</w:t>
            </w:r>
          </w:p>
          <w:p w14:paraId="160F3E47"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Nghị định số 53/2022/NĐ-CP hướng dẫn Luật An ninh mạng năm 2018: quy định về việc lưu trữ dữ liệu tại Việt Nam và việc đặt chi nhánh, văn phòng đại diện của tổ chức nước ngoài cung cấp dịch vụ trên không gian mạng tại Việt Nam; là cơ sở để cân bằng giữa yêu cầu liên thông quốc tế và bảo đảm chủ quyền dữ liệu.</w:t>
            </w:r>
          </w:p>
        </w:tc>
        <w:tc>
          <w:tcPr>
            <w:tcW w:w="3827" w:type="dxa"/>
          </w:tcPr>
          <w:p w14:paraId="61D4E7E8"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Điểm 3.2 đồng bộ với Luật Giao dịch điện tử 20/2023 Điều 26 và Nghị định 69/2024 Khoản 4 Điều 14 đã có quy định nền tảng về liên thông quốc tế.</w:t>
            </w:r>
          </w:p>
          <w:p w14:paraId="3FD19F60"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67DBF586"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Việc luật hóa cơ chế liên thông, công nhận lẫn nhau danh tính điện tử là sự nâng cấp pháp lý từ cấp Nghị định lên cấp Luật, phù hợp với yêu cầu hội nhập quốc tế và các cam kết FTA.</w:t>
            </w:r>
          </w:p>
        </w:tc>
        <w:tc>
          <w:tcPr>
            <w:tcW w:w="4111" w:type="dxa"/>
          </w:tcPr>
          <w:p w14:paraId="7C66F2BD"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Đề xuất luật hóa cơ chế liên thông và hợp tác quốc tế, công nhận lẫn nhau danh tính điện tử, cụ thể: "Quy định đồng bộ dịch vụ định danh, xác thực điện tử theo cơ chế xã hội hóa và liên thông, hợp tác quốc tế" — quy định nguyên tắc công nhận danh tính điện tử và kết quả xác thực của nước ngoài trên cơ sở mức độ tin cậy tương đương; cho phép giao dịch điện tử xuyên biên giới gắn với yêu cầu tuân thủ pháp luật của các bên liên quan.</w:t>
            </w:r>
          </w:p>
          <w:p w14:paraId="147B2D6E"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548A96AC" w14:textId="17BE1E46" w:rsidR="00DD2E54" w:rsidRPr="00214EA3" w:rsidRDefault="00B87CAC">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3F0A90" w:rsidRPr="00214EA3">
              <w:rPr>
                <w:rFonts w:ascii="Times New Roman" w:eastAsia="Times New Roman" w:hAnsi="Times New Roman" w:cs="Times New Roman"/>
                <w:color w:val="000000" w:themeColor="text1"/>
                <w:sz w:val="26"/>
                <w:szCs w:val="26"/>
              </w:rPr>
              <w:t xml:space="preserve"> này huy động và mở rộng không gian phát triển kinh tế số xuyên </w:t>
            </w:r>
            <w:r w:rsidR="003F0A90" w:rsidRPr="00214EA3">
              <w:rPr>
                <w:rFonts w:ascii="Times New Roman" w:eastAsia="Times New Roman" w:hAnsi="Times New Roman" w:cs="Times New Roman"/>
                <w:color w:val="000000" w:themeColor="text1"/>
                <w:sz w:val="26"/>
                <w:szCs w:val="26"/>
              </w:rPr>
              <w:lastRenderedPageBreak/>
              <w:t>biên giới; giảm chi phí và thời gian xác minh trong giao dịch quốc tế; nâng cao năng lực thu hút FDI; tương thích với eIDAS 2.0 EU (Quy định 2024/1183) tạo cơ sở cho các thỏa thuận công nhận lẫn nhau (MRA).</w:t>
            </w:r>
          </w:p>
        </w:tc>
      </w:tr>
      <w:tr w:rsidR="00214EA3" w:rsidRPr="00214EA3" w14:paraId="5C2DE7C2" w14:textId="77777777" w:rsidTr="00A131CE">
        <w:tc>
          <w:tcPr>
            <w:tcW w:w="2263" w:type="dxa"/>
          </w:tcPr>
          <w:p w14:paraId="5126F409" w14:textId="77777777" w:rsidR="00DD2E54" w:rsidRPr="00214EA3" w:rsidRDefault="00DD2E54">
            <w:pPr>
              <w:spacing w:before="120" w:after="120" w:line="240" w:lineRule="auto"/>
              <w:jc w:val="both"/>
              <w:rPr>
                <w:rFonts w:ascii="Times New Roman" w:eastAsia="Times New Roman" w:hAnsi="Times New Roman" w:cs="Times New Roman"/>
                <w:color w:val="000000" w:themeColor="text1"/>
                <w:sz w:val="20"/>
                <w:szCs w:val="20"/>
              </w:rPr>
            </w:pPr>
          </w:p>
        </w:tc>
        <w:tc>
          <w:tcPr>
            <w:tcW w:w="4395" w:type="dxa"/>
          </w:tcPr>
          <w:p w14:paraId="5E6CEC50"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Trí tuệ nhân tạo số 134/2025/QH15 (hiệu lực 01/3/2026): quy định việc quản lý hệ thống trí tuệ nhân tạo theo mức độ rủi ro (cao, trung bình, thấp); các hệ thống trí tuệ nhân tạo rủi ro cao — bao gồm các hệ thống xác thực sinh trắc học — phải tuân thủ yêu cầu nghiêm ngặt về đánh giá rủi ro, minh bạch, trách nhiệm giải trình, dữ liệu chất lượng cao, giám sát của con người và an toàn, bảo mật.</w:t>
            </w:r>
          </w:p>
          <w:p w14:paraId="13B29A3F"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Luật An ninh mạng số 116/2025/QH15 (hiệu lực 01/7/2026): quy định nguyên tắc bảo đảm an toàn thông tin, bảo mật trong hệ thống thông tin, bao gồm cả các hệ thống có sử dụng trí tuệ nhân tạo trong định danh và xác thực điện tử; yêu cầu kiểm tra, đánh giá an ninh mạng định kỳ đối với các hệ thống thông tin quan trọng.</w:t>
            </w:r>
          </w:p>
          <w:p w14:paraId="45D42CEA"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 xml:space="preserve">- Luật Khoa học, công nghệ và đổi mới sáng tạo năm 2025 (hiệu lực 01/01/2026): quy định khung pháp lý cho cơ chế thử nghiệm có kiểm soát (sandbox) cho các công nghệ trí tuệ nhân tạo mới, cho phép thử nghiệm trong môi </w:t>
            </w:r>
            <w:r w:rsidRPr="00214EA3">
              <w:rPr>
                <w:rFonts w:ascii="Times New Roman" w:eastAsia="Times New Roman" w:hAnsi="Times New Roman" w:cs="Times New Roman"/>
                <w:color w:val="000000" w:themeColor="text1"/>
                <w:sz w:val="26"/>
                <w:szCs w:val="26"/>
              </w:rPr>
              <w:lastRenderedPageBreak/>
              <w:t>trường an toàn trước khi triển khai trên diện rộng.</w:t>
            </w:r>
          </w:p>
        </w:tc>
        <w:tc>
          <w:tcPr>
            <w:tcW w:w="3827" w:type="dxa"/>
          </w:tcPr>
          <w:p w14:paraId="77CBF887"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lastRenderedPageBreak/>
              <w:t>Điểm 3.3 đồng bộ với Luật Trí tuệ nhân tạo 134/2025 (quản lý theo mức độ rủi ro, xác thực sinh trắc thuộc nhóm rủi ro cao), Luật ANM 116/2025, Luật KH&amp;CN ĐMST 2025 (sandbox).</w:t>
            </w:r>
          </w:p>
          <w:p w14:paraId="670A45FB"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102BA074"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Việc luật hóa quy định về trí tuệ nhân tạo trong ĐDXTĐT là sự cụ thể hóa Luật Trí tuệ nhân tạo 134/2025 trong lĩnh vực chuyên ngành ĐDXTĐT.</w:t>
            </w:r>
          </w:p>
        </w:tc>
        <w:tc>
          <w:tcPr>
            <w:tcW w:w="4111" w:type="dxa"/>
          </w:tcPr>
          <w:p w14:paraId="74B735B0" w14:textId="77777777" w:rsidR="00DD2E54" w:rsidRPr="00214EA3" w:rsidRDefault="0075365F">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Đề xuất luật hóa quy định về sử dụng hệ thống trí tuệ nhân tạo trong ĐDXTĐT, tạo điều kiện cho doanh nghiệp công nghệ triển khai các giải pháp trí tuệ nhân tạo phát hiện Deepfake ngay tại lớp dịch vụ; quy định nguyên tắc minh bạch, trách nhiệm giải trình đối với hệ thống trí tuệ nhân tạo; áp dụng phân loại rủi ro theo Luật Trí tuệ nhân tạo 134/2025.</w:t>
            </w:r>
          </w:p>
          <w:p w14:paraId="33939FF1" w14:textId="77777777" w:rsidR="00DD2E54" w:rsidRPr="00214EA3" w:rsidRDefault="00DD2E54">
            <w:pPr>
              <w:spacing w:before="120" w:after="120" w:line="240" w:lineRule="auto"/>
              <w:rPr>
                <w:rFonts w:ascii="Times New Roman" w:eastAsia="Times New Roman" w:hAnsi="Times New Roman" w:cs="Times New Roman"/>
                <w:color w:val="000000" w:themeColor="text1"/>
              </w:rPr>
            </w:pPr>
          </w:p>
          <w:p w14:paraId="416BB5E5" w14:textId="739C1CF9" w:rsidR="00DD2E54" w:rsidRPr="00214EA3" w:rsidRDefault="00B87CAC">
            <w:pPr>
              <w:spacing w:before="120" w:after="120" w:line="240" w:lineRule="auto"/>
              <w:jc w:val="both"/>
              <w:rPr>
                <w:rFonts w:ascii="Times New Roman" w:eastAsia="Times New Roman" w:hAnsi="Times New Roman" w:cs="Times New Roman"/>
                <w:color w:val="000000" w:themeColor="text1"/>
              </w:rPr>
            </w:pPr>
            <w:r w:rsidRPr="00214EA3">
              <w:rPr>
                <w:rFonts w:ascii="Times New Roman" w:eastAsia="Times New Roman" w:hAnsi="Times New Roman" w:cs="Times New Roman"/>
                <w:color w:val="000000" w:themeColor="text1"/>
                <w:sz w:val="26"/>
                <w:szCs w:val="26"/>
              </w:rPr>
              <w:t>Giải pháp</w:t>
            </w:r>
            <w:r w:rsidR="003F0A90" w:rsidRPr="00214EA3">
              <w:rPr>
                <w:rFonts w:ascii="Times New Roman" w:eastAsia="Times New Roman" w:hAnsi="Times New Roman" w:cs="Times New Roman"/>
                <w:color w:val="000000" w:themeColor="text1"/>
                <w:sz w:val="26"/>
                <w:szCs w:val="26"/>
              </w:rPr>
              <w:t xml:space="preserve"> này mở rộng "tuyến phòng thủ" trên không gian mạng; ứng phó với gian lận Deepfake gia tăng; tương thích với chuẩn quốc tế OECD AI 2019, UNESCO AI Ethics 2021, EU AI Act 2024.</w:t>
            </w:r>
          </w:p>
        </w:tc>
      </w:tr>
    </w:tbl>
    <w:p w14:paraId="516F3363" w14:textId="6824E8E2" w:rsidR="00DD2E54" w:rsidRPr="00214EA3" w:rsidRDefault="00A57BDF">
      <w:pPr>
        <w:spacing w:before="240" w:after="240" w:line="252" w:lineRule="auto"/>
        <w:jc w:val="both"/>
        <w:rPr>
          <w:rFonts w:ascii="Times New Roman" w:eastAsia="Times New Roman" w:hAnsi="Times New Roman" w:cs="Times New Roman"/>
          <w:b/>
          <w:bCs/>
          <w:color w:val="000000" w:themeColor="text1"/>
          <w:sz w:val="26"/>
          <w:szCs w:val="26"/>
        </w:rPr>
      </w:pPr>
      <w:r w:rsidRPr="00214EA3">
        <w:rPr>
          <w:rFonts w:ascii="Times New Roman" w:eastAsia="Times New Roman" w:hAnsi="Times New Roman" w:cs="Times New Roman"/>
          <w:color w:val="000000" w:themeColor="text1"/>
        </w:rPr>
        <w:tab/>
      </w:r>
      <w:r w:rsidR="0075365F" w:rsidRPr="00214EA3">
        <w:rPr>
          <w:rFonts w:ascii="Times New Roman" w:eastAsia="Times New Roman" w:hAnsi="Times New Roman" w:cs="Times New Roman"/>
          <w:b/>
          <w:bCs/>
          <w:color w:val="000000" w:themeColor="text1"/>
          <w:sz w:val="26"/>
          <w:szCs w:val="26"/>
        </w:rPr>
        <w:t xml:space="preserve">3. Điều ước quốc tế có liên quan đến </w:t>
      </w:r>
      <w:r w:rsidRPr="00214EA3">
        <w:rPr>
          <w:rFonts w:ascii="Times New Roman" w:eastAsia="Times New Roman" w:hAnsi="Times New Roman" w:cs="Times New Roman"/>
          <w:b/>
          <w:bCs/>
          <w:color w:val="000000" w:themeColor="text1"/>
          <w:sz w:val="26"/>
          <w:szCs w:val="26"/>
        </w:rPr>
        <w:t xml:space="preserve">Chính </w:t>
      </w:r>
      <w:r w:rsidR="0075365F" w:rsidRPr="00214EA3">
        <w:rPr>
          <w:rFonts w:ascii="Times New Roman" w:eastAsia="Times New Roman" w:hAnsi="Times New Roman" w:cs="Times New Roman"/>
          <w:b/>
          <w:bCs/>
          <w:color w:val="000000" w:themeColor="text1"/>
          <w:sz w:val="26"/>
          <w:szCs w:val="26"/>
        </w:rPr>
        <w:t>sách</w:t>
      </w:r>
      <w:r w:rsidRPr="00214EA3" w:rsidDel="00A57BDF">
        <w:rPr>
          <w:rFonts w:ascii="Times New Roman" w:eastAsia="Times New Roman" w:hAnsi="Times New Roman" w:cs="Times New Roman"/>
          <w:b/>
          <w:bCs/>
          <w:color w:val="000000" w:themeColor="text1"/>
          <w:sz w:val="26"/>
          <w:szCs w:val="26"/>
        </w:rPr>
        <w:t xml:space="preserve"> </w:t>
      </w:r>
    </w:p>
    <w:tbl>
      <w:tblPr>
        <w:tblStyle w:val="LiBang"/>
        <w:tblW w:w="14312" w:type="dxa"/>
        <w:jc w:val="center"/>
        <w:tblLayout w:type="fixed"/>
        <w:tblLook w:val="04A0" w:firstRow="1" w:lastRow="0" w:firstColumn="1" w:lastColumn="0" w:noHBand="0" w:noVBand="1"/>
      </w:tblPr>
      <w:tblGrid>
        <w:gridCol w:w="2268"/>
        <w:gridCol w:w="4395"/>
        <w:gridCol w:w="3827"/>
        <w:gridCol w:w="3822"/>
      </w:tblGrid>
      <w:tr w:rsidR="00214EA3" w:rsidRPr="00214EA3" w14:paraId="5004A08A" w14:textId="77777777" w:rsidTr="005727A6">
        <w:trPr>
          <w:tblHeader/>
          <w:jc w:val="center"/>
        </w:trPr>
        <w:tc>
          <w:tcPr>
            <w:tcW w:w="2268" w:type="dxa"/>
            <w:tcMar>
              <w:top w:w="60" w:type="dxa"/>
              <w:left w:w="70" w:type="dxa"/>
              <w:bottom w:w="60" w:type="dxa"/>
              <w:right w:w="70" w:type="dxa"/>
            </w:tcMar>
            <w:vAlign w:val="center"/>
          </w:tcPr>
          <w:p w14:paraId="198FDC91" w14:textId="5A52F1E1" w:rsidR="005727A6" w:rsidRPr="00214EA3" w:rsidRDefault="005727A6" w:rsidP="005727A6">
            <w:pPr>
              <w:spacing w:before="60" w:after="60" w:line="240" w:lineRule="auto"/>
              <w:jc w:val="center"/>
              <w:rPr>
                <w:rFonts w:ascii="Times New Roman" w:hAnsi="Times New Roman" w:cs="Times New Roman"/>
                <w:color w:val="000000" w:themeColor="text1"/>
                <w:sz w:val="26"/>
                <w:szCs w:val="26"/>
              </w:rPr>
            </w:pPr>
            <w:r w:rsidRPr="00214EA3">
              <w:rPr>
                <w:rFonts w:ascii="Times New Roman" w:eastAsia="Times New Roman" w:hAnsi="Times New Roman" w:cs="Times New Roman"/>
                <w:b/>
                <w:color w:val="000000" w:themeColor="text1"/>
                <w:sz w:val="26"/>
                <w:szCs w:val="26"/>
              </w:rPr>
              <w:t>Tên chính sách/Tên và nội dung Chính sách</w:t>
            </w:r>
          </w:p>
        </w:tc>
        <w:tc>
          <w:tcPr>
            <w:tcW w:w="4395" w:type="dxa"/>
            <w:tcMar>
              <w:top w:w="60" w:type="dxa"/>
              <w:left w:w="70" w:type="dxa"/>
              <w:bottom w:w="60" w:type="dxa"/>
              <w:right w:w="70" w:type="dxa"/>
            </w:tcMar>
            <w:vAlign w:val="center"/>
          </w:tcPr>
          <w:p w14:paraId="3F0D69BD" w14:textId="77777777" w:rsidR="005727A6" w:rsidRPr="00214EA3" w:rsidRDefault="005727A6" w:rsidP="005727A6">
            <w:pPr>
              <w:spacing w:before="60" w:after="60" w:line="240" w:lineRule="auto"/>
              <w:jc w:val="center"/>
              <w:rPr>
                <w:rFonts w:ascii="Times New Roman" w:hAnsi="Times New Roman" w:cs="Times New Roman"/>
                <w:color w:val="000000" w:themeColor="text1"/>
                <w:sz w:val="26"/>
                <w:szCs w:val="26"/>
              </w:rPr>
            </w:pPr>
            <w:r w:rsidRPr="00214EA3">
              <w:rPr>
                <w:rFonts w:ascii="Times New Roman" w:eastAsia="Times New Roman" w:hAnsi="Times New Roman" w:cs="Times New Roman"/>
                <w:b/>
                <w:color w:val="000000" w:themeColor="text1"/>
                <w:sz w:val="26"/>
                <w:szCs w:val="26"/>
              </w:rPr>
              <w:t>Quy định có liên quan của điều ước quốc tế mà Việt Nam là thành viên</w:t>
            </w:r>
          </w:p>
        </w:tc>
        <w:tc>
          <w:tcPr>
            <w:tcW w:w="3827" w:type="dxa"/>
            <w:tcMar>
              <w:top w:w="60" w:type="dxa"/>
              <w:left w:w="70" w:type="dxa"/>
              <w:bottom w:w="60" w:type="dxa"/>
              <w:right w:w="70" w:type="dxa"/>
            </w:tcMar>
            <w:vAlign w:val="center"/>
          </w:tcPr>
          <w:p w14:paraId="009E40F2" w14:textId="77777777" w:rsidR="005727A6" w:rsidRPr="00214EA3" w:rsidRDefault="005727A6" w:rsidP="005727A6">
            <w:pPr>
              <w:spacing w:before="60" w:after="60" w:line="240" w:lineRule="auto"/>
              <w:jc w:val="center"/>
              <w:rPr>
                <w:rFonts w:ascii="Times New Roman" w:hAnsi="Times New Roman" w:cs="Times New Roman"/>
                <w:color w:val="000000" w:themeColor="text1"/>
                <w:sz w:val="26"/>
                <w:szCs w:val="26"/>
              </w:rPr>
            </w:pPr>
            <w:r w:rsidRPr="00214EA3">
              <w:rPr>
                <w:rFonts w:ascii="Times New Roman" w:eastAsia="Times New Roman" w:hAnsi="Times New Roman" w:cs="Times New Roman"/>
                <w:b/>
                <w:color w:val="000000" w:themeColor="text1"/>
                <w:sz w:val="26"/>
                <w:szCs w:val="26"/>
              </w:rPr>
              <w:t>Đánh giá tính tương thích với điều ước quốc tế</w:t>
            </w:r>
          </w:p>
        </w:tc>
        <w:tc>
          <w:tcPr>
            <w:tcW w:w="3822" w:type="dxa"/>
            <w:tcMar>
              <w:top w:w="60" w:type="dxa"/>
              <w:left w:w="70" w:type="dxa"/>
              <w:bottom w:w="60" w:type="dxa"/>
              <w:right w:w="70" w:type="dxa"/>
            </w:tcMar>
            <w:vAlign w:val="center"/>
          </w:tcPr>
          <w:p w14:paraId="522E29C1" w14:textId="77777777" w:rsidR="005727A6" w:rsidRPr="00214EA3" w:rsidRDefault="005727A6" w:rsidP="005727A6">
            <w:pPr>
              <w:spacing w:before="60" w:after="60" w:line="240" w:lineRule="auto"/>
              <w:jc w:val="center"/>
              <w:rPr>
                <w:rFonts w:ascii="Times New Roman" w:hAnsi="Times New Roman" w:cs="Times New Roman"/>
                <w:color w:val="000000" w:themeColor="text1"/>
                <w:sz w:val="26"/>
                <w:szCs w:val="26"/>
              </w:rPr>
            </w:pPr>
            <w:r w:rsidRPr="00214EA3">
              <w:rPr>
                <w:rFonts w:ascii="Times New Roman" w:eastAsia="Times New Roman" w:hAnsi="Times New Roman" w:cs="Times New Roman"/>
                <w:b/>
                <w:color w:val="000000" w:themeColor="text1"/>
                <w:sz w:val="26"/>
                <w:szCs w:val="26"/>
              </w:rPr>
              <w:t>Đề xuất xử lý</w:t>
            </w:r>
          </w:p>
        </w:tc>
      </w:tr>
      <w:tr w:rsidR="00214EA3" w:rsidRPr="00214EA3" w14:paraId="42B6EF1F" w14:textId="77777777" w:rsidTr="005727A6">
        <w:trPr>
          <w:jc w:val="center"/>
        </w:trPr>
        <w:tc>
          <w:tcPr>
            <w:tcW w:w="2268" w:type="dxa"/>
            <w:tcMar>
              <w:top w:w="60" w:type="dxa"/>
              <w:left w:w="70" w:type="dxa"/>
              <w:bottom w:w="60" w:type="dxa"/>
              <w:right w:w="70" w:type="dxa"/>
            </w:tcMar>
          </w:tcPr>
          <w:p w14:paraId="5C8FA1C0"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
                <w:color w:val="000000" w:themeColor="text1"/>
                <w:sz w:val="26"/>
                <w:szCs w:val="26"/>
              </w:rPr>
              <w:t xml:space="preserve">CHÍNH SÁCH 1: </w:t>
            </w:r>
            <w:r w:rsidRPr="00214EA3">
              <w:rPr>
                <w:rFonts w:ascii="Times New Roman" w:eastAsia="Times New Roman" w:hAnsi="Times New Roman" w:cs="Times New Roman"/>
                <w:bCs/>
                <w:color w:val="000000" w:themeColor="text1"/>
                <w:sz w:val="26"/>
                <w:szCs w:val="26"/>
              </w:rPr>
              <w:t>Thiết lập cơ chế cấp mã định danh và xác thực điện tử thống nhất, duy nhất cho chủ thể, đối tượng, không gian, dữ liệu và quá trình giao dịch trong quản lý nhà nước, kinh tế - xã hội số</w:t>
            </w:r>
          </w:p>
          <w:p w14:paraId="0D3D37DE"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Cs/>
                <w:color w:val="000000" w:themeColor="text1"/>
                <w:sz w:val="26"/>
                <w:szCs w:val="26"/>
              </w:rPr>
              <w:t>Điểm 1.1: Xác lập phạm vi chủ thể, đối tượng, không gian, dữ liệu và quá trình giao dịch được cấp mã định danh, xác thực điện tử</w:t>
            </w:r>
            <w:r w:rsidRPr="00214EA3">
              <w:rPr>
                <w:rFonts w:ascii="Times New Roman" w:eastAsia="Times New Roman" w:hAnsi="Times New Roman" w:cs="Times New Roman"/>
                <w:b/>
                <w:color w:val="000000" w:themeColor="text1"/>
                <w:sz w:val="26"/>
                <w:szCs w:val="26"/>
              </w:rPr>
              <w:t>.</w:t>
            </w:r>
          </w:p>
        </w:tc>
        <w:tc>
          <w:tcPr>
            <w:tcW w:w="4395" w:type="dxa"/>
            <w:tcMar>
              <w:top w:w="60" w:type="dxa"/>
              <w:left w:w="70" w:type="dxa"/>
              <w:bottom w:w="60" w:type="dxa"/>
              <w:right w:w="70" w:type="dxa"/>
            </w:tcMar>
          </w:tcPr>
          <w:p w14:paraId="0094EF75"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Công ước quốc tế về các quyền dân sự và chính trị (ICCPR) năm 1966 (Việt Nam là thành viên từ năm 1982): Điều 16 quy định mọi người có quyền được công nhận là chủ thể trước pháp luật ở mọi nơi; Điều 17 bảo vệ đời sống riêng tư, thư tín, danh dự và uy tín trước sự can thiệp tùy tiện hoặc bất hợp pháp.</w:t>
            </w:r>
          </w:p>
          <w:p w14:paraId="6CB30AA2"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Hiệp định Đối tác Toàn diện và Tiến bộ xuyên Thái Bình Dương (CPTPP): Chương 14 về thương mại điện tử, đặc biệt Điều 14.6 về xác thực điện tử và chữ ký điện tử; Điều 14.8 về bảo vệ thông tin cá nhân.</w:t>
            </w:r>
          </w:p>
          <w:p w14:paraId="2BABCC5C"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xml:space="preserve">- Hiệp định Đối tác Kinh tế Toàn diện Khu vực (RCEP): Chương 12 về thương mại điện tử, trong đó có các cam kết duy trì khuôn khổ pháp lý cho giao dịch điện </w:t>
            </w:r>
            <w:r w:rsidRPr="00214EA3">
              <w:rPr>
                <w:rFonts w:ascii="Times New Roman" w:eastAsia="Times New Roman" w:hAnsi="Times New Roman" w:cs="Times New Roman"/>
                <w:color w:val="000000" w:themeColor="text1"/>
                <w:sz w:val="26"/>
                <w:szCs w:val="26"/>
              </w:rPr>
              <w:lastRenderedPageBreak/>
              <w:t>tử, xác thực điện tử và bảo vệ thông tin cá nhân.</w:t>
            </w:r>
          </w:p>
          <w:p w14:paraId="78CBACD3"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Hiệp định chung về Thương mại dịch vụ (GATS) thuộc WTO: Điều VI về quản lý trong nước; Điều XIV và Điều XIV bis về các ngoại lệ liên quan đến trật tự công cộng, bảo vệ đời sống riêng tư và lợi ích an ninh thiết yếu.</w:t>
            </w:r>
          </w:p>
        </w:tc>
        <w:tc>
          <w:tcPr>
            <w:tcW w:w="3827" w:type="dxa"/>
            <w:tcMar>
              <w:top w:w="60" w:type="dxa"/>
              <w:left w:w="70" w:type="dxa"/>
              <w:bottom w:w="60" w:type="dxa"/>
              <w:right w:w="70" w:type="dxa"/>
            </w:tcMar>
          </w:tcPr>
          <w:p w14:paraId="38B21ED4"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Điểm 1.1 tương thích với ICCPR về quyền được công nhận tư cách pháp lý và quyền riêng tư; tương thích với CPTPP, RCEP về xác thực điện tử và bảo vệ thông tin cá nhân; phù hợp GATS nếu các điều kiện cấp mã, xác thực được áp dụng minh bạch, khách quan, không tạo rào cản bất hợp lý đối với thương mại dịch vụ.</w:t>
            </w:r>
          </w:p>
          <w:p w14:paraId="24556E61"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Việc luật hóa phạm vi đối tượng định danh toàn diện không làm phát sinh xung đột với các điều ước quốc tế mà Việt Nam là thành viên, với điều kiện quy định rõ mục đích xử lý dữ liệu, phạm vi định danh, quyền và nghĩa vụ của chủ thể.</w:t>
            </w:r>
          </w:p>
        </w:tc>
        <w:tc>
          <w:tcPr>
            <w:tcW w:w="3822" w:type="dxa"/>
            <w:tcMar>
              <w:top w:w="60" w:type="dxa"/>
              <w:left w:w="70" w:type="dxa"/>
              <w:bottom w:w="60" w:type="dxa"/>
              <w:right w:w="70" w:type="dxa"/>
            </w:tcMar>
          </w:tcPr>
          <w:p w14:paraId="7C783E06" w14:textId="6AEEE92C"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Luật hóa phạm vi đối tượng được định danh và xác thực điện tử theo hướng toàn diện nhưng phân loại theo mức độ rủi ro, mục đích sử dụng và yêu cầu bảo vệ dữ liệu cá nhân; quy định cơ chế kiểm soát truy cập, lưu vết và trách nhiệm giải trình.</w:t>
            </w:r>
          </w:p>
          <w:p w14:paraId="2BF074A0"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Cs/>
                <w:color w:val="000000" w:themeColor="text1"/>
                <w:sz w:val="26"/>
                <w:szCs w:val="26"/>
              </w:rPr>
              <w:t>Giải pháp này</w:t>
            </w:r>
            <w:r w:rsidRPr="00214EA3">
              <w:rPr>
                <w:rFonts w:ascii="Times New Roman" w:eastAsia="Times New Roman" w:hAnsi="Times New Roman" w:cs="Times New Roman"/>
                <w:color w:val="000000" w:themeColor="text1"/>
                <w:sz w:val="26"/>
                <w:szCs w:val="26"/>
              </w:rPr>
              <w:t xml:space="preserve"> bảo đảm thực hiện quyền được công nhận tư cách pháp lý trong môi trường số, hỗ trợ thương mại điện tử và dịch vụ số xuyên biên giới; không sử dụng Luật mẫu UNCITRAL hoặc văn bản không phải điều ước quốc tế làm căn cứ đánh giá tương thích.</w:t>
            </w:r>
          </w:p>
        </w:tc>
      </w:tr>
      <w:tr w:rsidR="00214EA3" w:rsidRPr="00214EA3" w14:paraId="66D1595B" w14:textId="77777777" w:rsidTr="005727A6">
        <w:trPr>
          <w:jc w:val="center"/>
        </w:trPr>
        <w:tc>
          <w:tcPr>
            <w:tcW w:w="2268" w:type="dxa"/>
            <w:tcMar>
              <w:top w:w="60" w:type="dxa"/>
              <w:left w:w="70" w:type="dxa"/>
              <w:bottom w:w="60" w:type="dxa"/>
              <w:right w:w="70" w:type="dxa"/>
            </w:tcMar>
          </w:tcPr>
          <w:p w14:paraId="7F005FA9"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Cs/>
                <w:color w:val="000000" w:themeColor="text1"/>
                <w:sz w:val="26"/>
                <w:szCs w:val="26"/>
              </w:rPr>
              <w:t>CHÍNH SÁCH 1: Thiết lập cơ chế cấp mã định danh và xác thực điện tử thống nhất, duy nhất cho chủ thể, đối tượng, không gian, dữ liệu và quá trình giao dịch trong quản lý nhà nước, kinh tế - xã hội số</w:t>
            </w:r>
          </w:p>
          <w:p w14:paraId="4C62C9B5"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Cs/>
                <w:color w:val="000000" w:themeColor="text1"/>
                <w:sz w:val="26"/>
                <w:szCs w:val="26"/>
              </w:rPr>
              <w:t>Điểm 1.2: Quy định nguyên tắc mã định danh duy nhất và cơ chế kế thừa, ánh xạ với mã số chuyên ngành hiện có.</w:t>
            </w:r>
          </w:p>
        </w:tc>
        <w:tc>
          <w:tcPr>
            <w:tcW w:w="4395" w:type="dxa"/>
            <w:tcMar>
              <w:top w:w="60" w:type="dxa"/>
              <w:left w:w="70" w:type="dxa"/>
              <w:bottom w:w="60" w:type="dxa"/>
              <w:right w:w="70" w:type="dxa"/>
            </w:tcMar>
          </w:tcPr>
          <w:p w14:paraId="04E11394"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CPTPP: Điều 14.6 về xác thực điện tử; Điều 14.9 về thương mại không giấy tờ; Điều 14.11 về chuyển thông tin bằng phương tiện điện tử qua biên giới, kèm các ngoại lệ về mục tiêu chính sách công hợp pháp.</w:t>
            </w:r>
          </w:p>
          <w:p w14:paraId="49B8BAAE"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RCEP: Chương 12 về thương mại điện tử thúc đẩy giao dịch điện tử, thương mại không giấy tờ, xác thực điện tử và trao đổi dữ liệu trong khu vực.</w:t>
            </w:r>
          </w:p>
          <w:p w14:paraId="4EDE7B9A"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GATS: Điều VI về quản lý trong nước và các cam kết tiếp cận thị trường, đối xử quốc gia theo Biểu cam kết dịch vụ của Việt Nam, yêu cầu điều kiện kỹ thuật không trở thành rào cản không cần thiết đối với cung cấp dịch vụ.</w:t>
            </w:r>
          </w:p>
          <w:p w14:paraId="4838AD58"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ICCPR: Điều 17 về bảo vệ đời sống riêng tư khi liên thông, ánh xạ mã định danh giữa các cơ sở dữ liệu.</w:t>
            </w:r>
          </w:p>
        </w:tc>
        <w:tc>
          <w:tcPr>
            <w:tcW w:w="3827" w:type="dxa"/>
            <w:tcMar>
              <w:top w:w="60" w:type="dxa"/>
              <w:left w:w="70" w:type="dxa"/>
              <w:bottom w:w="60" w:type="dxa"/>
              <w:right w:w="70" w:type="dxa"/>
            </w:tcMar>
          </w:tcPr>
          <w:p w14:paraId="415EE01C"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Điểm 1.2 tương thích với CPTPP, RCEP, GATS và ICCPR nếu mã định danh duy nhất được thiết kế để liên thông, kế thừa và ánh xạ với mã số chuyên ngành hiện có, không thay thế tùy tiện hoặc làm mất hiệu lực các mã đã được pháp luật chuyên ngành xác lập.</w:t>
            </w:r>
          </w:p>
          <w:p w14:paraId="6FC87586"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Nguyên tắc “mỗi đối tượng một mã định danh” hỗ trợ tính chính xác, xác thực và truy xuất giao dịch số; đồng thời cần bảo đảm phân quyền, tối thiểu hóa dữ liệu và mục đích cụ thể để phù hợp ICCPR Điều 17.</w:t>
            </w:r>
          </w:p>
        </w:tc>
        <w:tc>
          <w:tcPr>
            <w:tcW w:w="3822" w:type="dxa"/>
            <w:tcMar>
              <w:top w:w="60" w:type="dxa"/>
              <w:left w:w="70" w:type="dxa"/>
              <w:bottom w:w="60" w:type="dxa"/>
              <w:right w:w="70" w:type="dxa"/>
            </w:tcMar>
          </w:tcPr>
          <w:p w14:paraId="78519056" w14:textId="6A742F19"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Luật hóa mã định danh điện tử như mã lõi phục vụ liên thông; mã số chuyên ngành hiện có được kế thừa, ánh xạ và chuyển đổi theo lộ trình, tránh xung đột pháp lý, gián đoạn nghiệp vụ và phát sinh chi phí xã hội không cần thiết.</w:t>
            </w:r>
          </w:p>
          <w:p w14:paraId="6C1B1A6B"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Cs/>
                <w:color w:val="000000" w:themeColor="text1"/>
                <w:sz w:val="26"/>
                <w:szCs w:val="26"/>
              </w:rPr>
              <w:t>Giải pháp</w:t>
            </w:r>
            <w:r w:rsidRPr="00214EA3">
              <w:rPr>
                <w:rFonts w:ascii="Times New Roman" w:eastAsia="Times New Roman" w:hAnsi="Times New Roman" w:cs="Times New Roman"/>
                <w:color w:val="000000" w:themeColor="text1"/>
                <w:sz w:val="26"/>
                <w:szCs w:val="26"/>
              </w:rPr>
              <w:t xml:space="preserve"> này bảo đảm tương thích các cam kết thương mại điện tử, thương mại dịch vụ và bảo vệ dữ liệu cá nhân. Các chuẩn GS1, ISO/IEC, khuyến nghị FATF hoặc Khung quản trị dữ liệu số ASEAN chỉ nên được sử dụng ở mức tham khảo kỹ thuật/chính sách trong văn bản hướng dẫn, không xem là điều ước quốc tế.</w:t>
            </w:r>
          </w:p>
        </w:tc>
      </w:tr>
      <w:tr w:rsidR="00214EA3" w:rsidRPr="00214EA3" w14:paraId="598D7536" w14:textId="77777777" w:rsidTr="005727A6">
        <w:trPr>
          <w:jc w:val="center"/>
        </w:trPr>
        <w:tc>
          <w:tcPr>
            <w:tcW w:w="2268" w:type="dxa"/>
            <w:tcMar>
              <w:top w:w="60" w:type="dxa"/>
              <w:left w:w="70" w:type="dxa"/>
              <w:bottom w:w="60" w:type="dxa"/>
              <w:right w:w="70" w:type="dxa"/>
            </w:tcMar>
          </w:tcPr>
          <w:p w14:paraId="085DD3D9"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
                <w:color w:val="000000" w:themeColor="text1"/>
                <w:sz w:val="26"/>
                <w:szCs w:val="26"/>
              </w:rPr>
              <w:t>CHÍNH SÁCH 1</w:t>
            </w:r>
            <w:r w:rsidRPr="00214EA3">
              <w:rPr>
                <w:rFonts w:ascii="Times New Roman" w:eastAsia="Times New Roman" w:hAnsi="Times New Roman" w:cs="Times New Roman"/>
                <w:bCs/>
                <w:color w:val="000000" w:themeColor="text1"/>
                <w:sz w:val="26"/>
                <w:szCs w:val="26"/>
              </w:rPr>
              <w:t>: Thiết lập cơ chế cấp mã định danh và xác thực điện tử thống nhất, duy nhất cho chủ thể, đối tượng, không gian, dữ liệu và quá trình giao dịch trong quản lý nhà nước, kinh tế - xã hội số</w:t>
            </w:r>
          </w:p>
          <w:p w14:paraId="1294F2DE"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Điểm 1.3: Liên kết đối tượng được định danh với chủ thể quản lý, sở hữu, sử dụng và giao dịch.</w:t>
            </w:r>
          </w:p>
        </w:tc>
        <w:tc>
          <w:tcPr>
            <w:tcW w:w="4395" w:type="dxa"/>
            <w:tcMar>
              <w:top w:w="60" w:type="dxa"/>
              <w:left w:w="70" w:type="dxa"/>
              <w:bottom w:w="60" w:type="dxa"/>
              <w:right w:w="70" w:type="dxa"/>
            </w:tcMar>
          </w:tcPr>
          <w:p w14:paraId="7735E99D"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CPTPP: Điều 14.6 về xác thực điện tử; Điều 14.8 về bảo vệ thông tin cá nhân.</w:t>
            </w:r>
          </w:p>
          <w:p w14:paraId="6A502A5D"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ICCPR: Điều 17 về quyền riêng tư, chống can thiệp tùy tiện hoặc bất hợp pháp vào đời sống riêng tư, thư tín, danh dự và uy tín.</w:t>
            </w:r>
          </w:p>
          <w:p w14:paraId="20761511"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Công ước Liên hợp quốc về chống tham nhũng (UNCAC) năm 2003 (Việt Nam là thành viên từ năm 2009): Điều 9, Điều 10 và các quy định về phòng ngừa, phát hiện tham nhũng, minh bạch trong quản lý hành chính công và tài chính công.</w:t>
            </w:r>
          </w:p>
          <w:p w14:paraId="6D12FA80"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Công ước Liên hợp quốc về chống tội phạm có tổ chức xuyên quốc gia (UNTOC) năm 2000: Điều 7 về biện pháp chống rửa tiền; Điều 18 về tương trợ tư pháp trong điều tra, truy tố, xét xử tội phạm có tổ chức xuyên quốc gia.</w:t>
            </w:r>
          </w:p>
          <w:p w14:paraId="0C20EBBA"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xml:space="preserve">- Công ước Liên hợp quốc về chống tội phạm mạng (Công ước Hà Nội): Việt Nam đã phê chuẩn năm 2026; các nghĩa vụ về phòng ngừa, điều tra, thu thập/chia </w:t>
            </w:r>
            <w:r w:rsidRPr="00214EA3">
              <w:rPr>
                <w:rFonts w:ascii="Times New Roman" w:eastAsia="Times New Roman" w:hAnsi="Times New Roman" w:cs="Times New Roman"/>
                <w:color w:val="000000" w:themeColor="text1"/>
                <w:sz w:val="26"/>
                <w:szCs w:val="26"/>
              </w:rPr>
              <w:lastRenderedPageBreak/>
              <w:t>sẻ chứng cứ điện tử và hợp tác quốc tế được thực hiện theo hiệu lực và phạm vi ràng buộc của Công ước đối với Việt Nam.</w:t>
            </w:r>
          </w:p>
        </w:tc>
        <w:tc>
          <w:tcPr>
            <w:tcW w:w="3827" w:type="dxa"/>
            <w:tcMar>
              <w:top w:w="60" w:type="dxa"/>
              <w:left w:w="70" w:type="dxa"/>
              <w:bottom w:w="60" w:type="dxa"/>
              <w:right w:w="70" w:type="dxa"/>
            </w:tcMar>
          </w:tcPr>
          <w:p w14:paraId="65FFEF59"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Điểm 1.3 tương thích với CPTPP về xác thực điện tử và bảo vệ thông tin cá nhân; phù hợp ICCPR nếu việc liên kết, truy vết được giới hạn bởi mục đích hợp pháp, cần thiết và tương xứng; hỗ trợ thực hiện UNCAC, UNTOC và Công ước Liên hợp quốc về chống tội phạm mạng trong phòng, chống gian lận, rửa tiền, tham nhũng và tội phạm sử dụng công nghệ thông tin.</w:t>
            </w:r>
          </w:p>
          <w:p w14:paraId="268E0CB0"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Việc liên kết đối tượng với chủ thể không phát sinh xung đột với điều ước quốc tế nếu có cơ chế bảo vệ dữ liệu cá nhân, kiểm soát truy cập, phân cấp thẩm quyền và ghi nhận nhật ký xử lý.</w:t>
            </w:r>
          </w:p>
        </w:tc>
        <w:tc>
          <w:tcPr>
            <w:tcW w:w="3822" w:type="dxa"/>
            <w:tcMar>
              <w:top w:w="60" w:type="dxa"/>
              <w:left w:w="70" w:type="dxa"/>
              <w:bottom w:w="60" w:type="dxa"/>
              <w:right w:w="70" w:type="dxa"/>
            </w:tcMar>
          </w:tcPr>
          <w:p w14:paraId="3289903C"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
                <w:color w:val="000000" w:themeColor="text1"/>
                <w:sz w:val="26"/>
                <w:szCs w:val="26"/>
              </w:rPr>
              <w:t>Đề xuất:</w:t>
            </w:r>
            <w:r w:rsidRPr="00214EA3">
              <w:rPr>
                <w:rFonts w:ascii="Times New Roman" w:eastAsia="Times New Roman" w:hAnsi="Times New Roman" w:cs="Times New Roman"/>
                <w:color w:val="000000" w:themeColor="text1"/>
                <w:sz w:val="26"/>
                <w:szCs w:val="26"/>
              </w:rPr>
              <w:t xml:space="preserve"> Luật hóa nguyên tắc liên kết đối tượng với chủ thể quản lý, sở hữu, sử dụng theo hướng “khép kín chuỗi kiểm soát giao dịch số”, đồng thời quy định giới hạn truy vết, thẩm quyền khai thác, thời hạn lưu trữ và quyền kiểm tra của chủ thể dữ liệu.</w:t>
            </w:r>
          </w:p>
          <w:p w14:paraId="626F0E88"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
                <w:color w:val="000000" w:themeColor="text1"/>
                <w:sz w:val="26"/>
                <w:szCs w:val="26"/>
              </w:rPr>
              <w:t>Giải pháp</w:t>
            </w:r>
            <w:r w:rsidRPr="00214EA3">
              <w:rPr>
                <w:rFonts w:ascii="Times New Roman" w:eastAsia="Times New Roman" w:hAnsi="Times New Roman" w:cs="Times New Roman"/>
                <w:color w:val="000000" w:themeColor="text1"/>
                <w:sz w:val="26"/>
                <w:szCs w:val="26"/>
              </w:rPr>
              <w:t xml:space="preserve"> này nâng cao hiệu quả phòng, chống rửa tiền, gian lận tài chính, tham nhũng và tội phạm mạng; khuyến nghị FATF số 10 và số 16 có thể được tham khảo khi xây dựng yêu cầu KYC, xác thực khách hàng và thông tin chuyển tiền điện tử, nhưng không xác định là điều ước quốc tế.</w:t>
            </w:r>
          </w:p>
        </w:tc>
      </w:tr>
      <w:tr w:rsidR="00214EA3" w:rsidRPr="00214EA3" w14:paraId="07EA67A4" w14:textId="77777777" w:rsidTr="005727A6">
        <w:trPr>
          <w:jc w:val="center"/>
        </w:trPr>
        <w:tc>
          <w:tcPr>
            <w:tcW w:w="2268" w:type="dxa"/>
            <w:tcMar>
              <w:top w:w="60" w:type="dxa"/>
              <w:left w:w="70" w:type="dxa"/>
              <w:bottom w:w="60" w:type="dxa"/>
              <w:right w:w="70" w:type="dxa"/>
            </w:tcMar>
          </w:tcPr>
          <w:p w14:paraId="22D6717C"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
                <w:color w:val="000000" w:themeColor="text1"/>
                <w:sz w:val="26"/>
                <w:szCs w:val="26"/>
              </w:rPr>
              <w:t>CHÍNH SÁCH 2:</w:t>
            </w:r>
            <w:r w:rsidRPr="00214EA3">
              <w:rPr>
                <w:rFonts w:ascii="Times New Roman" w:eastAsia="Times New Roman" w:hAnsi="Times New Roman" w:cs="Times New Roman"/>
                <w:bCs/>
                <w:color w:val="000000" w:themeColor="text1"/>
                <w:sz w:val="26"/>
                <w:szCs w:val="26"/>
              </w:rPr>
              <w:t xml:space="preserve"> Xây dựng Cơ sở dữ liệu quốc gia về định danh và xác thực điện tử, gắn với phát triển Ứng dụng định danh quốc gia (VNeID) để khai thác, chia sẻ dữ liệu và cung cấp dịch vụ số thống nhất</w:t>
            </w:r>
          </w:p>
          <w:p w14:paraId="17CC65DC"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Cs/>
                <w:color w:val="000000" w:themeColor="text1"/>
                <w:sz w:val="26"/>
                <w:szCs w:val="26"/>
              </w:rPr>
              <w:t>Điểm 2.1: Xây dựng Cơ sở dữ liệu quốc gia về định danh và xác thực điện tử, bảo đảm chia sẻ, khai thác dữ liệu có kiểm soát.</w:t>
            </w:r>
          </w:p>
        </w:tc>
        <w:tc>
          <w:tcPr>
            <w:tcW w:w="4395" w:type="dxa"/>
            <w:tcMar>
              <w:top w:w="60" w:type="dxa"/>
              <w:left w:w="70" w:type="dxa"/>
              <w:bottom w:w="60" w:type="dxa"/>
              <w:right w:w="70" w:type="dxa"/>
            </w:tcMar>
          </w:tcPr>
          <w:p w14:paraId="176C6B29"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ICCPR: Điều 17 yêu cầu bảo vệ đời sống riêng tư và dữ liệu cá nhân trước việc truy cập, sử dụng trái phép hoặc can thiệp tùy tiện.</w:t>
            </w:r>
          </w:p>
          <w:p w14:paraId="3557CD40"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CPTPP: Điều 14.8 về bảo vệ thông tin cá nhân; Điều 14.11 về chuyển thông tin bằng phương tiện điện tử qua biên giới; Điều 14.13 về vị trí cơ sở vật chất tính toán; Điều 29.1 và Điều 29.2 về ngoại lệ chung và ngoại lệ an ninh.</w:t>
            </w:r>
          </w:p>
          <w:p w14:paraId="0469E36D"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RCEP: Chương 12 về thương mại điện tử, bảo vệ thông tin cá nhân, chuyển thông tin bằng phương tiện điện tử và các ngoại lệ về mục tiêu chính sách công, an ninh.</w:t>
            </w:r>
          </w:p>
          <w:p w14:paraId="6D467189"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EVFTA: Chương 8 về tự do hóa đầu tư, thương mại dịch vụ và thương mại điện tử, trong đó có các yêu cầu tôn trọng quyền riêng tư, bảo vệ dữ liệu cá nhân khi cung cấp dịch vụ qua biên giới.</w:t>
            </w:r>
          </w:p>
          <w:p w14:paraId="427E83AA"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GATS: Điều XIV(c)(ii) về bảo vệ đời sống riêng tư trong xử lý và phổ biến dữ liệu cá nhân; Điều XIV bis về ngoại lệ an ninh.</w:t>
            </w:r>
          </w:p>
        </w:tc>
        <w:tc>
          <w:tcPr>
            <w:tcW w:w="3827" w:type="dxa"/>
            <w:tcMar>
              <w:top w:w="60" w:type="dxa"/>
              <w:left w:w="70" w:type="dxa"/>
              <w:bottom w:w="60" w:type="dxa"/>
              <w:right w:w="70" w:type="dxa"/>
            </w:tcMar>
          </w:tcPr>
          <w:p w14:paraId="0A8DE402"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Điểm 2.1 tương thích với ICCPR, CPTPP, RCEP, EVFTA và GATS nếu Cơ sở dữ liệu quốc gia về ĐDXTĐT được thiết kế theo nguyên tắc bảo vệ dữ liệu cá nhân, an ninh thông tin, phân quyền truy cập, lưu vết và trách nhiệm giải trình.</w:t>
            </w:r>
          </w:p>
          <w:p w14:paraId="0070CCA4"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Yêu cầu lưu trữ, chia sẻ hoặc hạn chế chuyển dữ liệu phải gắn với mục tiêu chính sách công hợp pháp, bảo vệ quyền riêng tư, an ninh quốc gia hoặc dữ liệu quan trọng; không được áp dụng như biện pháp hạn chế thương mại trá hình.</w:t>
            </w:r>
          </w:p>
        </w:tc>
        <w:tc>
          <w:tcPr>
            <w:tcW w:w="3822" w:type="dxa"/>
            <w:tcMar>
              <w:top w:w="60" w:type="dxa"/>
              <w:left w:w="70" w:type="dxa"/>
              <w:bottom w:w="60" w:type="dxa"/>
              <w:right w:w="70" w:type="dxa"/>
            </w:tcMar>
          </w:tcPr>
          <w:p w14:paraId="02674DA1"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
                <w:color w:val="000000" w:themeColor="text1"/>
                <w:sz w:val="26"/>
                <w:szCs w:val="26"/>
              </w:rPr>
              <w:t>Đề xuất:</w:t>
            </w:r>
            <w:r w:rsidRPr="00214EA3">
              <w:rPr>
                <w:rFonts w:ascii="Times New Roman" w:eastAsia="Times New Roman" w:hAnsi="Times New Roman" w:cs="Times New Roman"/>
                <w:color w:val="000000" w:themeColor="text1"/>
                <w:sz w:val="26"/>
                <w:szCs w:val="26"/>
              </w:rPr>
              <w:t xml:space="preserve"> Luật hóa Cơ sở dữ liệu quốc gia về ĐDXTĐT theo hướng xác định rõ phạm vi dữ liệu, chủ thể quản lý, nguyên tắc chia sẻ, cơ chế xác thực yêu cầu khai thác, nhật ký truy cập, đánh giá tác động bảo vệ dữ liệu và biện pháp bảo mật.</w:t>
            </w:r>
          </w:p>
          <w:p w14:paraId="5019C6BF"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
                <w:color w:val="000000" w:themeColor="text1"/>
                <w:sz w:val="26"/>
                <w:szCs w:val="26"/>
              </w:rPr>
              <w:t>Giải pháp</w:t>
            </w:r>
            <w:r w:rsidRPr="00214EA3">
              <w:rPr>
                <w:rFonts w:ascii="Times New Roman" w:eastAsia="Times New Roman" w:hAnsi="Times New Roman" w:cs="Times New Roman"/>
                <w:color w:val="000000" w:themeColor="text1"/>
                <w:sz w:val="26"/>
                <w:szCs w:val="26"/>
              </w:rPr>
              <w:t xml:space="preserve"> này tạo nền tảng liên thông dịch vụ số nhưng vẫn bảo đảm quyền riêng tư, an ninh quốc gia và các ngoại lệ hợp pháp trong CPTPP, RCEP, EVFTA, GATS. Khung quản trị dữ liệu số ASEAN chỉ nên dùng làm tài liệu tham khảo về quản trị dữ liệu khu vực, không đưa vào đánh giá tương thích điều ước quốc tế.</w:t>
            </w:r>
          </w:p>
        </w:tc>
      </w:tr>
      <w:tr w:rsidR="00214EA3" w:rsidRPr="00214EA3" w14:paraId="5051B2D3" w14:textId="77777777" w:rsidTr="005727A6">
        <w:trPr>
          <w:jc w:val="center"/>
        </w:trPr>
        <w:tc>
          <w:tcPr>
            <w:tcW w:w="2268" w:type="dxa"/>
            <w:tcMar>
              <w:top w:w="60" w:type="dxa"/>
              <w:left w:w="70" w:type="dxa"/>
              <w:bottom w:w="60" w:type="dxa"/>
              <w:right w:w="70" w:type="dxa"/>
            </w:tcMar>
          </w:tcPr>
          <w:p w14:paraId="4696A611"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
                <w:color w:val="000000" w:themeColor="text1"/>
                <w:sz w:val="26"/>
                <w:szCs w:val="26"/>
              </w:rPr>
              <w:t xml:space="preserve">CHÍNH SÁCH 2: </w:t>
            </w:r>
            <w:r w:rsidRPr="00214EA3">
              <w:rPr>
                <w:rFonts w:ascii="Times New Roman" w:eastAsia="Times New Roman" w:hAnsi="Times New Roman" w:cs="Times New Roman"/>
                <w:bCs/>
                <w:color w:val="000000" w:themeColor="text1"/>
                <w:sz w:val="26"/>
                <w:szCs w:val="26"/>
              </w:rPr>
              <w:t>Xây dựng Cơ sở dữ liệu quốc gia về định danh và xác thực điện tử, gắn với phát triển Ứng dụng định danh quốc gia (VNeID) để khai thác, chia sẻ dữ liệu và cung cấp dịch vụ số thống nhất</w:t>
            </w:r>
          </w:p>
          <w:p w14:paraId="1C6DA974" w14:textId="77777777" w:rsidR="005727A6" w:rsidRPr="00214EA3" w:rsidRDefault="005727A6" w:rsidP="005727A6">
            <w:pPr>
              <w:spacing w:before="60" w:after="60" w:line="240" w:lineRule="auto"/>
              <w:jc w:val="both"/>
              <w:rPr>
                <w:rFonts w:ascii="Times New Roman" w:hAnsi="Times New Roman" w:cs="Times New Roman"/>
                <w:b/>
                <w:color w:val="000000" w:themeColor="text1"/>
                <w:sz w:val="26"/>
                <w:szCs w:val="26"/>
              </w:rPr>
            </w:pPr>
            <w:r w:rsidRPr="00214EA3">
              <w:rPr>
                <w:rFonts w:ascii="Times New Roman" w:eastAsia="Times New Roman" w:hAnsi="Times New Roman" w:cs="Times New Roman"/>
                <w:bCs/>
                <w:color w:val="000000" w:themeColor="text1"/>
                <w:sz w:val="26"/>
                <w:szCs w:val="26"/>
              </w:rPr>
              <w:t>Điểm 2.2: Phát triển VNeID thành ứng dụng định danh quốc gia, cung cấp dịch vụ số thống nhất và hỗ trợ xác thực tin cậy.</w:t>
            </w:r>
          </w:p>
        </w:tc>
        <w:tc>
          <w:tcPr>
            <w:tcW w:w="4395" w:type="dxa"/>
            <w:tcMar>
              <w:top w:w="60" w:type="dxa"/>
              <w:left w:w="70" w:type="dxa"/>
              <w:bottom w:w="60" w:type="dxa"/>
              <w:right w:w="70" w:type="dxa"/>
            </w:tcMar>
          </w:tcPr>
          <w:p w14:paraId="360A815C"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CPTPP: Điều 14.6 về xác thực điện tử và chữ ký điện tử; Điều 14.8 về bảo vệ thông tin cá nhân; Điều 14.11 về chuyển thông tin bằng phương tiện điện tử qua biên giới.</w:t>
            </w:r>
          </w:p>
          <w:p w14:paraId="4C11856E"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RCEP: Chương 12 về thương mại điện tử, trong đó có các nội dung về giao dịch điện tử, xác thực điện tử, thương mại không giấy tờ và bảo vệ thông tin cá nhân.</w:t>
            </w:r>
          </w:p>
          <w:p w14:paraId="5738B316"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EVFTA: Chương 8 về thương mại dịch vụ và thương mại điện tử, tạo thuận lợi cho giao dịch điện tử qua biên giới trên cơ sở bảo vệ dữ liệu cá nhân.</w:t>
            </w:r>
          </w:p>
          <w:p w14:paraId="353B42F0"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GATS: các nghĩa vụ về quản lý trong nước, tiếp cận thị trường và đối xử quốc gia trong thương mại dịch vụ theo Biểu cam kết của Việt Nam.</w:t>
            </w:r>
          </w:p>
          <w:p w14:paraId="3D83B2E6"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xml:space="preserve">- UNTOC và Công ước Liên hợp quốc về chống tội phạm mạng: các nghĩa vụ hợp tác quốc tế, tương trợ, thu thập, chia sẻ </w:t>
            </w:r>
            <w:r w:rsidRPr="00214EA3">
              <w:rPr>
                <w:rFonts w:ascii="Times New Roman" w:eastAsia="Times New Roman" w:hAnsi="Times New Roman" w:cs="Times New Roman"/>
                <w:color w:val="000000" w:themeColor="text1"/>
                <w:sz w:val="26"/>
                <w:szCs w:val="26"/>
              </w:rPr>
              <w:lastRenderedPageBreak/>
              <w:t>thông tin và chứng cứ điện tử phục vụ đấu tranh phòng, chống tội phạm xuyên biên giới.</w:t>
            </w:r>
          </w:p>
        </w:tc>
        <w:tc>
          <w:tcPr>
            <w:tcW w:w="3827" w:type="dxa"/>
            <w:tcMar>
              <w:top w:w="60" w:type="dxa"/>
              <w:left w:w="70" w:type="dxa"/>
              <w:bottom w:w="60" w:type="dxa"/>
              <w:right w:w="70" w:type="dxa"/>
            </w:tcMar>
          </w:tcPr>
          <w:p w14:paraId="007306DD"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Điểm 2.2 tương thích với CPTPP, RCEP, EVFTA và GATS nếu VNeID được xác định là nền tảng định danh, xác thực tin cậy của Nhà nước, được kết nối với dịch vụ công và dịch vụ tư theo tiêu chuẩn rõ ràng, không phân biệt đối xử, bảo đảm bảo mật và quyền riêng tư.</w:t>
            </w:r>
          </w:p>
          <w:p w14:paraId="57DAEF93"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VNeID cũng hỗ trợ thực hiện các nghĩa vụ hợp tác quốc tế trong UNTOC và Công ước Liên hợp quốc về chống tội phạm mạng khi cần xác minh danh tính, bảo toàn và trao đổi chứng cứ điện tử theo đúng thẩm quyền pháp luật.</w:t>
            </w:r>
          </w:p>
        </w:tc>
        <w:tc>
          <w:tcPr>
            <w:tcW w:w="3822" w:type="dxa"/>
            <w:tcMar>
              <w:top w:w="60" w:type="dxa"/>
              <w:left w:w="70" w:type="dxa"/>
              <w:bottom w:w="60" w:type="dxa"/>
              <w:right w:w="70" w:type="dxa"/>
            </w:tcMar>
          </w:tcPr>
          <w:p w14:paraId="0525C973" w14:textId="0A639DC0"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Luật hóa chức năng, giá trị pháp lý và phạm vi sử dụng VNeID; phân định rõ dịch vụ công, dịch vụ thương mại, mức độ bảo đảm định danh/xác thực, điều kiện kết nối, trách nhiệm của bên khai thác và cơ chế công nhận kết quả xác thực trong giao dịch điện tử.</w:t>
            </w:r>
          </w:p>
          <w:p w14:paraId="15AE0710"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Giải pháp này tạo nền tảng thực hiện KYC điện tử, dịch vụ tài chính số và dịch vụ công xuyên suốt; các khuyến nghị FATF số 10, 15, 16 nên được dùng làm chuẩn tham khảo về quản trị rủi ro, thẩm định khách hàng và chuyển tiền điện tử, không xem là điều ước quốc tế.</w:t>
            </w:r>
          </w:p>
        </w:tc>
      </w:tr>
      <w:tr w:rsidR="00214EA3" w:rsidRPr="00214EA3" w14:paraId="7D59C164" w14:textId="77777777" w:rsidTr="005727A6">
        <w:trPr>
          <w:jc w:val="center"/>
        </w:trPr>
        <w:tc>
          <w:tcPr>
            <w:tcW w:w="2268" w:type="dxa"/>
            <w:tcMar>
              <w:top w:w="60" w:type="dxa"/>
              <w:left w:w="70" w:type="dxa"/>
              <w:bottom w:w="60" w:type="dxa"/>
              <w:right w:w="70" w:type="dxa"/>
            </w:tcMar>
          </w:tcPr>
          <w:p w14:paraId="69462377"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
                <w:color w:val="000000" w:themeColor="text1"/>
                <w:sz w:val="26"/>
                <w:szCs w:val="26"/>
              </w:rPr>
              <w:t xml:space="preserve">CHÍNH SÁCH 2: </w:t>
            </w:r>
            <w:r w:rsidRPr="00214EA3">
              <w:rPr>
                <w:rFonts w:ascii="Times New Roman" w:eastAsia="Times New Roman" w:hAnsi="Times New Roman" w:cs="Times New Roman"/>
                <w:bCs/>
                <w:color w:val="000000" w:themeColor="text1"/>
                <w:sz w:val="26"/>
                <w:szCs w:val="26"/>
              </w:rPr>
              <w:t>Xây dựng Cơ sở dữ liệu quốc gia về định danh và xác thực điện tử, gắn với phát triển Ứng dụng định danh quốc gia (VNeID) để khai thác, chia sẻ dữ liệu và cung cấp dịch vụ số thống nhất</w:t>
            </w:r>
          </w:p>
          <w:p w14:paraId="42CB6BC4"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Cs/>
                <w:color w:val="000000" w:themeColor="text1"/>
                <w:sz w:val="26"/>
                <w:szCs w:val="26"/>
              </w:rPr>
              <w:t>Điểm 2.3: Quy định nguyên tắc chủ quyền dữ liệu, chủ quyền công nghệ và bảo vệ dữ liệu quan trọng quốc gia.</w:t>
            </w:r>
          </w:p>
        </w:tc>
        <w:tc>
          <w:tcPr>
            <w:tcW w:w="4395" w:type="dxa"/>
            <w:tcMar>
              <w:top w:w="60" w:type="dxa"/>
              <w:left w:w="70" w:type="dxa"/>
              <w:bottom w:w="60" w:type="dxa"/>
              <w:right w:w="70" w:type="dxa"/>
            </w:tcMar>
          </w:tcPr>
          <w:p w14:paraId="10F20863"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ICCPR: Điều 17 về bảo vệ quyền riêng tư và chống can thiệp tùy tiện, bất hợp pháp vào đời sống riêng tư, thư tín, danh dự, uy tín.</w:t>
            </w:r>
          </w:p>
          <w:p w14:paraId="30386AB3"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CPTPP: Điều 14.8, 14.11, 14.13 về bảo vệ thông tin cá nhân, chuyển dữ liệu qua biên giới và vị trí cơ sở vật chất tính toán; Điều 29.1 và 29.2 về ngoại lệ chung, ngoại lệ an ninh.</w:t>
            </w:r>
          </w:p>
          <w:p w14:paraId="7F62195C"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RCEP: Chương 12 cho phép chuyển thông tin bằng phương tiện điện tử nhưng thừa nhận ngoại lệ vì mục tiêu chính sách công hợp pháp và an ninh thiết yếu.</w:t>
            </w:r>
          </w:p>
          <w:p w14:paraId="7173D16F"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EVFTA: Chương 8 về thương mại dịch vụ, thương mại điện tử và bảo vệ dữ liệu cá nhân.</w:t>
            </w:r>
          </w:p>
          <w:p w14:paraId="033688A3"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GATS: Điều XIV(c)(ii) và Điều XIV bis về bảo vệ đời sống riêng tư, dữ liệu cá nhân và lợi ích an ninh thiết yếu.</w:t>
            </w:r>
          </w:p>
        </w:tc>
        <w:tc>
          <w:tcPr>
            <w:tcW w:w="3827" w:type="dxa"/>
            <w:tcMar>
              <w:top w:w="60" w:type="dxa"/>
              <w:left w:w="70" w:type="dxa"/>
              <w:bottom w:w="60" w:type="dxa"/>
              <w:right w:w="70" w:type="dxa"/>
            </w:tcMar>
          </w:tcPr>
          <w:p w14:paraId="5E248BB0"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Điểm 2.3 tương thích với ICCPR, CPTPP, RCEP, EVFTA và GATS nếu nguyên tắc chủ quyền dữ liệu được thể hiện bằng cơ chế phân loại dữ liệu, kiểm soát truy cập, lưu trữ và chuyển dữ liệu phù hợp mức độ rủi ro, mục tiêu chính sách công và an ninh quốc gia.</w:t>
            </w:r>
          </w:p>
          <w:p w14:paraId="3B0FBACD"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Yêu cầu lưu trữ dữ liệu tại Việt Nam đối với dữ liệu cốt lõi, dữ liệu quan trọng hoặc dữ liệu gắn với an ninh quốc gia có cơ sở trong các ngoại lệ của CPTPP, RCEP và GATS, nhưng phải bảo đảm cần thiết, tương xứng, minh bạch và không phân biệt đối xử bất hợp lý.</w:t>
            </w:r>
          </w:p>
        </w:tc>
        <w:tc>
          <w:tcPr>
            <w:tcW w:w="3822" w:type="dxa"/>
            <w:tcMar>
              <w:top w:w="60" w:type="dxa"/>
              <w:left w:w="70" w:type="dxa"/>
              <w:bottom w:w="60" w:type="dxa"/>
              <w:right w:w="70" w:type="dxa"/>
            </w:tcMar>
          </w:tcPr>
          <w:p w14:paraId="657E2F79" w14:textId="10C8D7C1"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Luật hóa nguyên tắc chủ quyền dữ liệu, chủ quyền công nghệ theo hướng phân loại dữ liệu; xác định dữ liệu cốt lõi, dữ liệu quan trọng, dữ liệu cá nhân nhạy cảm; quy định điều kiện lưu trữ trong nước, chuyển dữ liệu ra nước ngoài, kiểm tra an ninh và xử lý sự cố.</w:t>
            </w:r>
          </w:p>
          <w:p w14:paraId="34F02F77"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Cs/>
                <w:color w:val="000000" w:themeColor="text1"/>
                <w:sz w:val="26"/>
                <w:szCs w:val="26"/>
              </w:rPr>
              <w:t>Giải pháp</w:t>
            </w:r>
            <w:r w:rsidRPr="00214EA3">
              <w:rPr>
                <w:rFonts w:ascii="Times New Roman" w:eastAsia="Times New Roman" w:hAnsi="Times New Roman" w:cs="Times New Roman"/>
                <w:color w:val="000000" w:themeColor="text1"/>
                <w:sz w:val="26"/>
                <w:szCs w:val="26"/>
              </w:rPr>
              <w:t xml:space="preserve"> này bảo đảm quyền tự quyết của Nhà nước đối với dữ liệu liên quan an ninh, quốc phòng và trật tự an toàn xã hội, đồng thời vẫn duy trì nghĩa vụ mở cửa thương mại dịch vụ và luồng dữ liệu hợp pháp theo điều ước quốc tế mà Việt Nam là thành viên.</w:t>
            </w:r>
          </w:p>
        </w:tc>
      </w:tr>
      <w:tr w:rsidR="00214EA3" w:rsidRPr="00214EA3" w14:paraId="5E5D883C" w14:textId="77777777" w:rsidTr="005727A6">
        <w:trPr>
          <w:jc w:val="center"/>
        </w:trPr>
        <w:tc>
          <w:tcPr>
            <w:tcW w:w="2268" w:type="dxa"/>
            <w:tcMar>
              <w:top w:w="60" w:type="dxa"/>
              <w:left w:w="70" w:type="dxa"/>
              <w:bottom w:w="60" w:type="dxa"/>
              <w:right w:w="70" w:type="dxa"/>
            </w:tcMar>
          </w:tcPr>
          <w:p w14:paraId="775D1F5F"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
                <w:color w:val="000000" w:themeColor="text1"/>
                <w:sz w:val="26"/>
                <w:szCs w:val="26"/>
              </w:rPr>
              <w:t xml:space="preserve">CHÍNH SÁCH 3: </w:t>
            </w:r>
            <w:r w:rsidRPr="00214EA3">
              <w:rPr>
                <w:rFonts w:ascii="Times New Roman" w:eastAsia="Times New Roman" w:hAnsi="Times New Roman" w:cs="Times New Roman"/>
                <w:bCs/>
                <w:color w:val="000000" w:themeColor="text1"/>
                <w:sz w:val="26"/>
                <w:szCs w:val="26"/>
              </w:rPr>
              <w:t xml:space="preserve">Phát triển dịch vụ </w:t>
            </w:r>
            <w:r w:rsidRPr="00214EA3">
              <w:rPr>
                <w:rFonts w:ascii="Times New Roman" w:eastAsia="Times New Roman" w:hAnsi="Times New Roman" w:cs="Times New Roman"/>
                <w:bCs/>
                <w:color w:val="000000" w:themeColor="text1"/>
                <w:sz w:val="26"/>
                <w:szCs w:val="26"/>
              </w:rPr>
              <w:lastRenderedPageBreak/>
              <w:t>định danh, xác thực điện tử theo mô hình Nhà nước thiết lập nền tảng, điều phối liên thông; tổ chức, doanh nghiệp tham gia cung cấp dịch vụ; và công nhận hợp tác quốc tế</w:t>
            </w:r>
          </w:p>
          <w:p w14:paraId="4A897E11"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Cs/>
                <w:color w:val="000000" w:themeColor="text1"/>
                <w:sz w:val="26"/>
                <w:szCs w:val="26"/>
              </w:rPr>
              <w:t>Điểm 3.1: Phát triển dịch vụ định danh, xác thực điện tử theo mô hình Nhà nước thiết lập nền tảng, tổ chức, doanh nghiệp tham gia cung cấp dịch vụ.</w:t>
            </w:r>
          </w:p>
        </w:tc>
        <w:tc>
          <w:tcPr>
            <w:tcW w:w="4395" w:type="dxa"/>
            <w:tcMar>
              <w:top w:w="60" w:type="dxa"/>
              <w:left w:w="70" w:type="dxa"/>
              <w:bottom w:w="60" w:type="dxa"/>
              <w:right w:w="70" w:type="dxa"/>
            </w:tcMar>
          </w:tcPr>
          <w:p w14:paraId="17B62413"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xml:space="preserve">- CPTPP: Điều 14.6 về xác thực điện tử và chữ ký điện tử; Điều 14.8 về bảo vệ </w:t>
            </w:r>
            <w:r w:rsidRPr="00214EA3">
              <w:rPr>
                <w:rFonts w:ascii="Times New Roman" w:eastAsia="Times New Roman" w:hAnsi="Times New Roman" w:cs="Times New Roman"/>
                <w:color w:val="000000" w:themeColor="text1"/>
                <w:sz w:val="26"/>
                <w:szCs w:val="26"/>
              </w:rPr>
              <w:lastRenderedPageBreak/>
              <w:t>thông tin cá nhân; Điều 14.17 về bảo vệ mã nguồn phần mềm trong một số trường hợp thương mại.</w:t>
            </w:r>
          </w:p>
          <w:p w14:paraId="4192B4D5"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RCEP: Chương 12 về thương mại điện tử, xác thực điện tử, giao dịch không giấy tờ và hợp tác trong môi trường số.</w:t>
            </w:r>
          </w:p>
          <w:p w14:paraId="3430379B"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EVFTA: Chương 8 về thương mại dịch vụ và thương mại điện tử, tạo thuận lợi cho giao dịch điện tử và cung cấp dịch vụ qua biên giới.</w:t>
            </w:r>
          </w:p>
          <w:p w14:paraId="38D20230"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GATS: Điều VI về quản lý trong nước và các cam kết tiếp cận thị trường, đối xử quốc gia trong thương mại dịch vụ theo Biểu cam kết của Việt Nam.</w:t>
            </w:r>
          </w:p>
          <w:p w14:paraId="6BAAACD9"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ICCPR: Điều 16 về công nhận tư cách pháp lý; Điều 17 về quyền riêng tư.</w:t>
            </w:r>
          </w:p>
        </w:tc>
        <w:tc>
          <w:tcPr>
            <w:tcW w:w="3827" w:type="dxa"/>
            <w:tcMar>
              <w:top w:w="60" w:type="dxa"/>
              <w:left w:w="70" w:type="dxa"/>
              <w:bottom w:w="60" w:type="dxa"/>
              <w:right w:w="70" w:type="dxa"/>
            </w:tcMar>
          </w:tcPr>
          <w:p w14:paraId="0DB5F0A1"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xml:space="preserve">Điểm 3.1 tương thích với CPTPP, RCEP, EVFTA và GATS nếu điều </w:t>
            </w:r>
            <w:r w:rsidRPr="00214EA3">
              <w:rPr>
                <w:rFonts w:ascii="Times New Roman" w:eastAsia="Times New Roman" w:hAnsi="Times New Roman" w:cs="Times New Roman"/>
                <w:color w:val="000000" w:themeColor="text1"/>
                <w:sz w:val="26"/>
                <w:szCs w:val="26"/>
              </w:rPr>
              <w:lastRenderedPageBreak/>
              <w:t>kiện cung cấp dịch vụ định danh, xác thực điện tử được quy định rõ ràng, minh bạch, khách quan, không phân biệt đối xử bất hợp lý giữa các phương thức xác thực, chủ thể cung cấp dịch vụ và người sử dụng dịch vụ.</w:t>
            </w:r>
          </w:p>
          <w:p w14:paraId="17DD0444"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Mô hình Nhà nước thiết lập nền tảng, điều phối liên thông, còn tổ chức, doanh nghiệp tham gia cung cấp dịch vụ không làm phát sinh xung đột với điều ước quốc tế nếu bảo đảm quyền riêng tư, an toàn dữ liệu và các nghĩa vụ quản lý trong nước hợp lý.</w:t>
            </w:r>
          </w:p>
        </w:tc>
        <w:tc>
          <w:tcPr>
            <w:tcW w:w="3822" w:type="dxa"/>
            <w:tcMar>
              <w:top w:w="60" w:type="dxa"/>
              <w:left w:w="70" w:type="dxa"/>
              <w:bottom w:w="60" w:type="dxa"/>
              <w:right w:w="70" w:type="dxa"/>
            </w:tcMar>
          </w:tcPr>
          <w:p w14:paraId="14F96BE3"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
                <w:color w:val="000000" w:themeColor="text1"/>
                <w:sz w:val="26"/>
                <w:szCs w:val="26"/>
              </w:rPr>
              <w:lastRenderedPageBreak/>
              <w:t>Đề xuất:</w:t>
            </w:r>
            <w:r w:rsidRPr="00214EA3">
              <w:rPr>
                <w:rFonts w:ascii="Times New Roman" w:eastAsia="Times New Roman" w:hAnsi="Times New Roman" w:cs="Times New Roman"/>
                <w:color w:val="000000" w:themeColor="text1"/>
                <w:sz w:val="26"/>
                <w:szCs w:val="26"/>
              </w:rPr>
              <w:t xml:space="preserve"> Luật hóa mô hình dịch vụ ĐDXTĐT theo hướng Nhà nước </w:t>
            </w:r>
            <w:r w:rsidRPr="00214EA3">
              <w:rPr>
                <w:rFonts w:ascii="Times New Roman" w:eastAsia="Times New Roman" w:hAnsi="Times New Roman" w:cs="Times New Roman"/>
                <w:color w:val="000000" w:themeColor="text1"/>
                <w:sz w:val="26"/>
                <w:szCs w:val="26"/>
              </w:rPr>
              <w:lastRenderedPageBreak/>
              <w:t>xây dựng nền tảng, tiêu chuẩn kết nối, cấp độ tin cậy và cơ chế giám sát; tổ chức, doanh nghiệp được tham gia cung cấp dịch vụ khi đáp ứng điều kiện an toàn, bảo mật, trách nhiệm giải trình và bảo vệ dữ liệu cá nhân.</w:t>
            </w:r>
          </w:p>
          <w:p w14:paraId="3FACAC5F"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
                <w:color w:val="000000" w:themeColor="text1"/>
                <w:sz w:val="26"/>
                <w:szCs w:val="26"/>
              </w:rPr>
              <w:t>Giải pháp</w:t>
            </w:r>
            <w:r w:rsidRPr="00214EA3">
              <w:rPr>
                <w:rFonts w:ascii="Times New Roman" w:eastAsia="Times New Roman" w:hAnsi="Times New Roman" w:cs="Times New Roman"/>
                <w:color w:val="000000" w:themeColor="text1"/>
                <w:sz w:val="26"/>
                <w:szCs w:val="26"/>
              </w:rPr>
              <w:t xml:space="preserve"> này tạo môi trường xã hội hóa dịch vụ số, giảm rào cản thương mại dịch vụ và hỗ trợ công nhận kết quả xác thực giữa các hệ thống; các chuẩn W3C, ISO/IEC hoặc mô hình eIDAS có thể tham khảo về kỹ thuật, không đưa vào cột đánh giá tương thích điều ước quốc tế.</w:t>
            </w:r>
          </w:p>
        </w:tc>
      </w:tr>
      <w:tr w:rsidR="00214EA3" w:rsidRPr="00214EA3" w14:paraId="498E2222" w14:textId="77777777" w:rsidTr="005727A6">
        <w:trPr>
          <w:jc w:val="center"/>
        </w:trPr>
        <w:tc>
          <w:tcPr>
            <w:tcW w:w="2268" w:type="dxa"/>
            <w:tcMar>
              <w:top w:w="60" w:type="dxa"/>
              <w:left w:w="70" w:type="dxa"/>
              <w:bottom w:w="60" w:type="dxa"/>
              <w:right w:w="70" w:type="dxa"/>
            </w:tcMar>
          </w:tcPr>
          <w:p w14:paraId="38691479"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
                <w:color w:val="000000" w:themeColor="text1"/>
                <w:sz w:val="26"/>
                <w:szCs w:val="26"/>
              </w:rPr>
              <w:lastRenderedPageBreak/>
              <w:t xml:space="preserve">CHÍNH SÁCH 3: </w:t>
            </w:r>
            <w:r w:rsidRPr="00214EA3">
              <w:rPr>
                <w:rFonts w:ascii="Times New Roman" w:eastAsia="Times New Roman" w:hAnsi="Times New Roman" w:cs="Times New Roman"/>
                <w:bCs/>
                <w:color w:val="000000" w:themeColor="text1"/>
                <w:sz w:val="26"/>
                <w:szCs w:val="26"/>
              </w:rPr>
              <w:t xml:space="preserve">Phát triển dịch vụ định danh, xác thực điện tử theo mô hình Nhà nước thiết lập nền tảng, điều phối liên thông; tổ chức, doanh nghiệp tham </w:t>
            </w:r>
            <w:r w:rsidRPr="00214EA3">
              <w:rPr>
                <w:rFonts w:ascii="Times New Roman" w:eastAsia="Times New Roman" w:hAnsi="Times New Roman" w:cs="Times New Roman"/>
                <w:bCs/>
                <w:color w:val="000000" w:themeColor="text1"/>
                <w:sz w:val="26"/>
                <w:szCs w:val="26"/>
              </w:rPr>
              <w:lastRenderedPageBreak/>
              <w:t>gia cung cấp dịch vụ; và công nhận hợp tác quốc tế</w:t>
            </w:r>
          </w:p>
          <w:p w14:paraId="4E5D104C" w14:textId="638D2248"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Cs/>
                <w:color w:val="000000" w:themeColor="text1"/>
                <w:sz w:val="26"/>
                <w:szCs w:val="26"/>
              </w:rPr>
              <w:t>Điểm 3.2: Quy định cơ chế liên thông, hợp tác quốc tế và công nhận kết quả định danh, xác thực điện tử của nước ngoài.</w:t>
            </w:r>
          </w:p>
        </w:tc>
        <w:tc>
          <w:tcPr>
            <w:tcW w:w="4395" w:type="dxa"/>
            <w:tcMar>
              <w:top w:w="60" w:type="dxa"/>
              <w:left w:w="70" w:type="dxa"/>
              <w:bottom w:w="60" w:type="dxa"/>
              <w:right w:w="70" w:type="dxa"/>
            </w:tcMar>
          </w:tcPr>
          <w:p w14:paraId="63471BFC"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CPTPP: Điều 14.6 về xác thực điện tử, Điều 14.11 về chuyển thông tin bằng phương tiện điện tử qua biên giới, Điều 14.13 về vị trí cơ sở vật chất tính toán, kèm các ngoại lệ về chính sách công và an ninh.</w:t>
            </w:r>
          </w:p>
          <w:p w14:paraId="3A096D5C"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RCEP: Chương 12 về thương mại điện tử, thương mại không giấy tờ, xác thực điện tử và hợp tác khu vực.</w:t>
            </w:r>
          </w:p>
          <w:p w14:paraId="16B541F5"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EVFTA: Chương 8 về thương mại dịch vụ, thương mại điện tử và tạo thuận lợi cho giao dịch điện tử qua biên giới.</w:t>
            </w:r>
          </w:p>
          <w:p w14:paraId="42B01E2F"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GATS: các nghĩa vụ về thương mại dịch vụ và các ngoại lệ tại Điều XIV, XIV bis.</w:t>
            </w:r>
          </w:p>
          <w:p w14:paraId="7982C42B"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Công ước Liên hợp quốc về chống tội phạm mạng: cơ chế hợp tác quốc tế, tương trợ và chia sẻ chứng cứ điện tử trong phòng, chống tội phạm mạng, thực hiện theo hiệu lực và phạm vi ràng buộc đối với Việt Nam.</w:t>
            </w:r>
          </w:p>
        </w:tc>
        <w:tc>
          <w:tcPr>
            <w:tcW w:w="3827" w:type="dxa"/>
            <w:tcMar>
              <w:top w:w="60" w:type="dxa"/>
              <w:left w:w="70" w:type="dxa"/>
              <w:bottom w:w="60" w:type="dxa"/>
              <w:right w:w="70" w:type="dxa"/>
            </w:tcMar>
          </w:tcPr>
          <w:p w14:paraId="28AC9052"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xml:space="preserve">Điểm 3.2 tương thích với CPTPP, RCEP, EVFTA và GATS nếu cơ chế công nhận kết quả định danh, xác thực điện tử của nước ngoài dựa trên thỏa thuận quốc tế, nguyên tắc có đi có lại, mức độ tin cậy tương đương, bảo vệ dữ liệu cá nhân và </w:t>
            </w:r>
            <w:r w:rsidRPr="00214EA3">
              <w:rPr>
                <w:rFonts w:ascii="Times New Roman" w:eastAsia="Times New Roman" w:hAnsi="Times New Roman" w:cs="Times New Roman"/>
                <w:color w:val="000000" w:themeColor="text1"/>
                <w:sz w:val="26"/>
                <w:szCs w:val="26"/>
              </w:rPr>
              <w:lastRenderedPageBreak/>
              <w:t>quyền từ chối vì an ninh quốc gia, trật tự công cộng.</w:t>
            </w:r>
          </w:p>
          <w:p w14:paraId="7F296670"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Nội dung rà soát đã lược bỏ Công ước Liên hợp quốc về sử dụng giao dịch điện tử trong các hợp đồng quốc tế năm 2005 do Việt Nam chưa là thành viên; đồng thời không sử dụng Luật mẫu UNCITRAL làm căn cứ đánh giá tương thích điều ước quốc tế.</w:t>
            </w:r>
          </w:p>
        </w:tc>
        <w:tc>
          <w:tcPr>
            <w:tcW w:w="3822" w:type="dxa"/>
            <w:tcMar>
              <w:top w:w="60" w:type="dxa"/>
              <w:left w:w="70" w:type="dxa"/>
              <w:bottom w:w="60" w:type="dxa"/>
              <w:right w:w="70" w:type="dxa"/>
            </w:tcMar>
          </w:tcPr>
          <w:p w14:paraId="724BCFEB"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
                <w:color w:val="000000" w:themeColor="text1"/>
                <w:sz w:val="26"/>
                <w:szCs w:val="26"/>
              </w:rPr>
              <w:lastRenderedPageBreak/>
              <w:t>Đề xuất:</w:t>
            </w:r>
            <w:r w:rsidRPr="00214EA3">
              <w:rPr>
                <w:rFonts w:ascii="Times New Roman" w:eastAsia="Times New Roman" w:hAnsi="Times New Roman" w:cs="Times New Roman"/>
                <w:color w:val="000000" w:themeColor="text1"/>
                <w:sz w:val="26"/>
                <w:szCs w:val="26"/>
              </w:rPr>
              <w:t xml:space="preserve"> Luật hóa cơ chế công nhận danh tính điện tử và kết quả xác thực của nước ngoài trên cơ sở thỏa thuận công nhận lẫn nhau, điều ước quốc tế hoặc thỏa thuận quốc tế có liên quan; quy định tiêu chí mức độ tin cậy, bảo vệ dữ liệu, an ninh </w:t>
            </w:r>
            <w:r w:rsidRPr="00214EA3">
              <w:rPr>
                <w:rFonts w:ascii="Times New Roman" w:eastAsia="Times New Roman" w:hAnsi="Times New Roman" w:cs="Times New Roman"/>
                <w:color w:val="000000" w:themeColor="text1"/>
                <w:sz w:val="26"/>
                <w:szCs w:val="26"/>
              </w:rPr>
              <w:lastRenderedPageBreak/>
              <w:t>mạng, kiểm toán và quyền tạm dừng/cấm kết nối khi có rủi ro.</w:t>
            </w:r>
          </w:p>
          <w:p w14:paraId="61746687"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
                <w:color w:val="000000" w:themeColor="text1"/>
                <w:sz w:val="26"/>
                <w:szCs w:val="26"/>
              </w:rPr>
              <w:t>Giải pháp</w:t>
            </w:r>
            <w:r w:rsidRPr="00214EA3">
              <w:rPr>
                <w:rFonts w:ascii="Times New Roman" w:eastAsia="Times New Roman" w:hAnsi="Times New Roman" w:cs="Times New Roman"/>
                <w:color w:val="000000" w:themeColor="text1"/>
                <w:sz w:val="26"/>
                <w:szCs w:val="26"/>
              </w:rPr>
              <w:t xml:space="preserve"> này mở rộng không gian phát triển kinh tế số xuyên biên giới, giảm chi phí xác minh trong giao dịch quốc tế và vẫn bảo đảm quyền áp dụng ngoại lệ chính sách công, an ninh theo các điều ước mà Việt Nam là thành viên.</w:t>
            </w:r>
          </w:p>
        </w:tc>
      </w:tr>
      <w:tr w:rsidR="005727A6" w:rsidRPr="00214EA3" w14:paraId="19631C0B" w14:textId="77777777" w:rsidTr="005727A6">
        <w:trPr>
          <w:jc w:val="center"/>
        </w:trPr>
        <w:tc>
          <w:tcPr>
            <w:tcW w:w="2268" w:type="dxa"/>
            <w:tcMar>
              <w:top w:w="60" w:type="dxa"/>
              <w:left w:w="70" w:type="dxa"/>
              <w:bottom w:w="60" w:type="dxa"/>
              <w:right w:w="70" w:type="dxa"/>
            </w:tcMar>
          </w:tcPr>
          <w:p w14:paraId="6CC04B10" w14:textId="0DDDBDBD"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
                <w:color w:val="000000" w:themeColor="text1"/>
                <w:sz w:val="26"/>
                <w:szCs w:val="26"/>
              </w:rPr>
              <w:lastRenderedPageBreak/>
              <w:t xml:space="preserve">CHÍNH SÁCH 3: </w:t>
            </w:r>
            <w:r w:rsidRPr="00214EA3">
              <w:rPr>
                <w:rFonts w:ascii="Times New Roman" w:eastAsia="Times New Roman" w:hAnsi="Times New Roman" w:cs="Times New Roman"/>
                <w:bCs/>
                <w:color w:val="000000" w:themeColor="text1"/>
                <w:sz w:val="26"/>
                <w:szCs w:val="26"/>
              </w:rPr>
              <w:t>Phát triển dịch vụ định danh, xác thực điện tử theo mô hình Nhà nước thiết lập</w:t>
            </w:r>
            <w:r w:rsidR="00DA7526" w:rsidRPr="00214EA3">
              <w:rPr>
                <w:rFonts w:ascii="Times New Roman" w:eastAsia="Times New Roman" w:hAnsi="Times New Roman" w:cs="Times New Roman"/>
                <w:bCs/>
                <w:color w:val="000000" w:themeColor="text1"/>
                <w:sz w:val="26"/>
                <w:szCs w:val="26"/>
              </w:rPr>
              <w:t xml:space="preserve"> nền tảng, điều phối liên thông,</w:t>
            </w:r>
            <w:r w:rsidRPr="00214EA3">
              <w:rPr>
                <w:rFonts w:ascii="Times New Roman" w:eastAsia="Times New Roman" w:hAnsi="Times New Roman" w:cs="Times New Roman"/>
                <w:bCs/>
                <w:color w:val="000000" w:themeColor="text1"/>
                <w:sz w:val="26"/>
                <w:szCs w:val="26"/>
              </w:rPr>
              <w:t xml:space="preserve"> tổ chức, doanh n</w:t>
            </w:r>
            <w:r w:rsidR="00DA7526" w:rsidRPr="00214EA3">
              <w:rPr>
                <w:rFonts w:ascii="Times New Roman" w:eastAsia="Times New Roman" w:hAnsi="Times New Roman" w:cs="Times New Roman"/>
                <w:bCs/>
                <w:color w:val="000000" w:themeColor="text1"/>
                <w:sz w:val="26"/>
                <w:szCs w:val="26"/>
              </w:rPr>
              <w:t>ghiệp tham gia cung cấp dịch vụ</w:t>
            </w:r>
            <w:r w:rsidRPr="00214EA3">
              <w:rPr>
                <w:rFonts w:ascii="Times New Roman" w:eastAsia="Times New Roman" w:hAnsi="Times New Roman" w:cs="Times New Roman"/>
                <w:bCs/>
                <w:color w:val="000000" w:themeColor="text1"/>
                <w:sz w:val="26"/>
                <w:szCs w:val="26"/>
              </w:rPr>
              <w:t xml:space="preserve"> và công nhận hợp tác quốc tế</w:t>
            </w:r>
          </w:p>
          <w:p w14:paraId="280CA76A" w14:textId="77777777" w:rsidR="005727A6" w:rsidRPr="00214EA3" w:rsidRDefault="005727A6" w:rsidP="005727A6">
            <w:pPr>
              <w:spacing w:before="60" w:after="60" w:line="240" w:lineRule="auto"/>
              <w:jc w:val="both"/>
              <w:rPr>
                <w:rFonts w:ascii="Times New Roman" w:hAnsi="Times New Roman" w:cs="Times New Roman"/>
                <w:bCs/>
                <w:color w:val="000000" w:themeColor="text1"/>
                <w:sz w:val="26"/>
                <w:szCs w:val="26"/>
              </w:rPr>
            </w:pPr>
            <w:r w:rsidRPr="00214EA3">
              <w:rPr>
                <w:rFonts w:ascii="Times New Roman" w:eastAsia="Times New Roman" w:hAnsi="Times New Roman" w:cs="Times New Roman"/>
                <w:bCs/>
                <w:color w:val="000000" w:themeColor="text1"/>
                <w:sz w:val="26"/>
                <w:szCs w:val="26"/>
              </w:rPr>
              <w:lastRenderedPageBreak/>
              <w:t>Điểm 3.3: Quản lý việc sử dụng trí tuệ nhân tạo, sinh trắc học và công nghệ mới trong định danh, xác thực điện tử.</w:t>
            </w:r>
          </w:p>
        </w:tc>
        <w:tc>
          <w:tcPr>
            <w:tcW w:w="4395" w:type="dxa"/>
            <w:tcMar>
              <w:top w:w="60" w:type="dxa"/>
              <w:left w:w="70" w:type="dxa"/>
              <w:bottom w:w="60" w:type="dxa"/>
              <w:right w:w="70" w:type="dxa"/>
            </w:tcMar>
          </w:tcPr>
          <w:p w14:paraId="087F5811"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ICCPR: Điều 17 về quyền riêng tư; Điều 26 về bình đẳng trước pháp luật và không phân biệt đối xử, có ý nghĩa đối với việc kiểm soát sai lệch, thiên lệch thuật toán trong xác thực sinh trắc học.</w:t>
            </w:r>
          </w:p>
          <w:p w14:paraId="18622D64"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CPTPP: Điều 14.8 về bảo vệ thông tin cá nhân; Điều 14.17 về bảo vệ mã nguồn phần mềm trong bối cảnh thương mại số, kèm các ngoại lệ cần thiết.</w:t>
            </w:r>
          </w:p>
          <w:p w14:paraId="09740510"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 GATS: Điều VI về quản lý trong nước; Điều XIV về ngoại lệ liên quan đến bảo vệ đời sống riêng tư, ngăn ngừa gian lận, bảo đảm tuân thủ pháp luật.</w:t>
            </w:r>
          </w:p>
          <w:p w14:paraId="42F2DEF9"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UNTOC: Điều 7 và Điều 18 về chống rửa tiền, tương trợ tư pháp, hỗ trợ điều tra tội phạm có tổ chức xuyên quốc gia.</w:t>
            </w:r>
          </w:p>
          <w:p w14:paraId="7A60DE14"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t>- Công ước Liên hợp quốc về chống tội phạm mạng: các nghĩa vụ về phòng, chống tội phạm sử dụng hệ thống công nghệ thông tin và chia sẻ chứng cứ điện tử, có liên quan đến phòng, chống giả mạo danh tính, deepfake và tấn công vào hệ thống xác thực.</w:t>
            </w:r>
          </w:p>
        </w:tc>
        <w:tc>
          <w:tcPr>
            <w:tcW w:w="3827" w:type="dxa"/>
            <w:tcMar>
              <w:top w:w="60" w:type="dxa"/>
              <w:left w:w="70" w:type="dxa"/>
              <w:bottom w:w="60" w:type="dxa"/>
              <w:right w:w="70" w:type="dxa"/>
            </w:tcMar>
          </w:tcPr>
          <w:p w14:paraId="7134AD7C"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Điểm 3.3 tương thích với ICCPR, CPTPP, GATS, UNTOC và Công ước Liên hợp quốc về chống tội phạm mạng nếu quy định về AI, sinh trắc học trong ĐDXTĐT được thiết kế theo quản lý rủi ro, bảo đảm tính chính xác, an toàn, kiểm soát thiên lệch, bảo vệ dữ liệu cá nhân và có cơ chế kiểm toán, giám sát con người.</w:t>
            </w:r>
          </w:p>
          <w:p w14:paraId="0CF0506E"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Quy định yêu cầu minh bạch, đánh giá rủi ro hoặc kiểm định hệ thống AI không được mở rộng thành nghĩa vụ tiết lộ mã nguồn trái với cam kết CPTPP, trừ trường hợp thuộc ngoại lệ hợp pháp.</w:t>
            </w:r>
          </w:p>
        </w:tc>
        <w:tc>
          <w:tcPr>
            <w:tcW w:w="3822" w:type="dxa"/>
            <w:tcMar>
              <w:top w:w="60" w:type="dxa"/>
              <w:left w:w="70" w:type="dxa"/>
              <w:bottom w:w="60" w:type="dxa"/>
              <w:right w:w="70" w:type="dxa"/>
            </w:tcMar>
          </w:tcPr>
          <w:p w14:paraId="7A4A5277" w14:textId="497ABFCF"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color w:val="000000" w:themeColor="text1"/>
                <w:sz w:val="26"/>
                <w:szCs w:val="26"/>
              </w:rPr>
              <w:lastRenderedPageBreak/>
              <w:t>Luật hóa nguyên tắc quản lý AI và sinh trắc học trong ĐDXTĐT theo hướng đánh giá rủi ro, thử nghiệm có kiểm soát, kiểm định độ chính xác, chống giả mạo/deepfake, bảo vệ dữ liệu sinh trắc học, ghi nhận trách nhiệm của tổ chức cung cấp dịch vụ và cơ chế khiếu nại của người dùng.</w:t>
            </w:r>
          </w:p>
          <w:p w14:paraId="104A9C84" w14:textId="77777777" w:rsidR="005727A6" w:rsidRPr="00214EA3" w:rsidRDefault="005727A6" w:rsidP="005727A6">
            <w:pPr>
              <w:spacing w:before="60" w:after="60" w:line="240" w:lineRule="auto"/>
              <w:jc w:val="both"/>
              <w:rPr>
                <w:rFonts w:ascii="Times New Roman" w:hAnsi="Times New Roman" w:cs="Times New Roman"/>
                <w:color w:val="000000" w:themeColor="text1"/>
                <w:sz w:val="26"/>
                <w:szCs w:val="26"/>
              </w:rPr>
            </w:pPr>
            <w:r w:rsidRPr="00214EA3">
              <w:rPr>
                <w:rFonts w:ascii="Times New Roman" w:eastAsia="Times New Roman" w:hAnsi="Times New Roman" w:cs="Times New Roman"/>
                <w:bCs/>
                <w:color w:val="000000" w:themeColor="text1"/>
                <w:sz w:val="26"/>
                <w:szCs w:val="26"/>
              </w:rPr>
              <w:t>Giải pháp này</w:t>
            </w:r>
            <w:r w:rsidRPr="00214EA3">
              <w:rPr>
                <w:rFonts w:ascii="Times New Roman" w:eastAsia="Times New Roman" w:hAnsi="Times New Roman" w:cs="Times New Roman"/>
                <w:color w:val="000000" w:themeColor="text1"/>
                <w:sz w:val="26"/>
                <w:szCs w:val="26"/>
              </w:rPr>
              <w:t xml:space="preserve"> tăng cường phòng, chống gian lận danh tính, rửa tiền </w:t>
            </w:r>
            <w:r w:rsidRPr="00214EA3">
              <w:rPr>
                <w:rFonts w:ascii="Times New Roman" w:eastAsia="Times New Roman" w:hAnsi="Times New Roman" w:cs="Times New Roman"/>
                <w:color w:val="000000" w:themeColor="text1"/>
                <w:sz w:val="26"/>
                <w:szCs w:val="26"/>
              </w:rPr>
              <w:lastRenderedPageBreak/>
              <w:t>và tội phạm mạng; các khuyến nghị FATF về công nghệ mới, thẩm định khách hàng và chuyển tiền điện tử, cũng như khuyến nghị OECD/UNESCO hoặc EU AI Act, chỉ nên dùng làm chuẩn tham khảo chính sách/kỹ thuật, không xác định là điều ước quốc tế.</w:t>
            </w:r>
          </w:p>
        </w:tc>
      </w:tr>
    </w:tbl>
    <w:p w14:paraId="532A35BC" w14:textId="77777777" w:rsidR="005727A6" w:rsidRPr="00214EA3" w:rsidRDefault="005727A6" w:rsidP="005727A6">
      <w:pPr>
        <w:spacing w:before="240" w:after="240" w:line="252" w:lineRule="auto"/>
        <w:jc w:val="both"/>
        <w:rPr>
          <w:rFonts w:ascii="Times New Roman" w:eastAsia="Times New Roman" w:hAnsi="Times New Roman" w:cs="Times New Roman"/>
          <w:b/>
          <w:bCs/>
          <w:color w:val="000000" w:themeColor="text1"/>
          <w:sz w:val="26"/>
          <w:szCs w:val="26"/>
        </w:rPr>
      </w:pPr>
    </w:p>
    <w:p w14:paraId="32133C33" w14:textId="77777777" w:rsidR="00DD2E54" w:rsidRPr="00214EA3" w:rsidRDefault="00DD2E54" w:rsidP="00A131CE">
      <w:pPr>
        <w:spacing w:before="240" w:after="240" w:line="252" w:lineRule="auto"/>
        <w:jc w:val="both"/>
        <w:rPr>
          <w:rFonts w:ascii="Times New Roman" w:eastAsia="Times New Roman" w:hAnsi="Times New Roman" w:cs="Times New Roman"/>
          <w:b/>
          <w:bCs/>
          <w:color w:val="000000" w:themeColor="text1"/>
        </w:rPr>
      </w:pPr>
    </w:p>
    <w:p w14:paraId="60DFF1F0" w14:textId="77777777" w:rsidR="00DD2E54" w:rsidRPr="00214EA3" w:rsidRDefault="00DD2E54" w:rsidP="00A131CE">
      <w:pPr>
        <w:spacing w:after="80" w:line="240" w:lineRule="auto"/>
        <w:jc w:val="center"/>
        <w:rPr>
          <w:color w:val="000000" w:themeColor="text1"/>
        </w:rPr>
      </w:pPr>
      <w:bookmarkStart w:id="0" w:name="_6ycunw47vo17" w:colFirst="0" w:colLast="0"/>
      <w:bookmarkEnd w:id="0"/>
    </w:p>
    <w:sectPr w:rsidR="00DD2E54" w:rsidRPr="00214EA3" w:rsidSect="00A567C7">
      <w:headerReference w:type="default" r:id="rId10"/>
      <w:headerReference w:type="first" r:id="rId11"/>
      <w:pgSz w:w="16840" w:h="11900" w:orient="landscape"/>
      <w:pgMar w:top="1134" w:right="1134"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6DE55" w14:textId="77777777" w:rsidR="00ED6038" w:rsidRDefault="00ED6038">
      <w:pPr>
        <w:spacing w:line="240" w:lineRule="auto"/>
      </w:pPr>
      <w:r>
        <w:separator/>
      </w:r>
    </w:p>
  </w:endnote>
  <w:endnote w:type="continuationSeparator" w:id="0">
    <w:p w14:paraId="2A8F54E6" w14:textId="77777777" w:rsidR="00ED6038" w:rsidRDefault="00ED60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3"/>
    <w:family w:val="swiss"/>
    <w:pitch w:val="variable"/>
    <w:sig w:usb0="E4002EFF" w:usb1="C200247B" w:usb2="00000009" w:usb3="00000000" w:csb0="000001FF" w:csb1="00000000"/>
    <w:embedRegular r:id="rId1" w:fontKey="{F202A15E-C279-408F-850F-08AE0037F524}"/>
    <w:embedBold r:id="rId2" w:fontKey="{6E6A2364-B0DE-4800-AA01-7C54468786FE}"/>
    <w:embedItalic r:id="rId3" w:fontKey="{9338C840-FF71-40C3-B211-8A79816F55C5}"/>
  </w:font>
  <w:font w:name="Times New Roman">
    <w:panose1 w:val="02020603050405020304"/>
    <w:charset w:val="A3"/>
    <w:family w:val="roman"/>
    <w:pitch w:val="variable"/>
    <w:sig w:usb0="E0002EFF" w:usb1="C000785B" w:usb2="00000009" w:usb3="00000000" w:csb0="000001FF" w:csb1="00000000"/>
  </w:font>
  <w:font w:name="Times New Roman Bold">
    <w:altName w:val="Times New Roman"/>
    <w:charset w:val="00"/>
    <w:family w:val="roman"/>
    <w:pitch w:val="default"/>
  </w:font>
  <w:font w:name="Times New Roman Italic">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3"/>
    <w:family w:val="roman"/>
    <w:pitch w:val="variable"/>
    <w:sig w:usb0="E00006FF" w:usb1="420024FF" w:usb2="02000000" w:usb3="00000000" w:csb0="0000019F" w:csb1="00000000"/>
    <w:embedRegular r:id="rId4" w:fontKey="{4C05C1FB-8B94-4637-AA17-C7B46D1DF9B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ECE91" w14:textId="77777777" w:rsidR="00ED6038" w:rsidRDefault="00ED6038">
      <w:pPr>
        <w:spacing w:after="0"/>
      </w:pPr>
      <w:r>
        <w:separator/>
      </w:r>
    </w:p>
  </w:footnote>
  <w:footnote w:type="continuationSeparator" w:id="0">
    <w:p w14:paraId="7884CFDF" w14:textId="77777777" w:rsidR="00ED6038" w:rsidRDefault="00ED603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trang"/>
      </w:rPr>
      <w:id w:val="-1441366349"/>
      <w:docPartObj>
        <w:docPartGallery w:val="Page Numbers (Top of Page)"/>
        <w:docPartUnique/>
      </w:docPartObj>
    </w:sdtPr>
    <w:sdtContent>
      <w:p w14:paraId="3C7C82A4" w14:textId="6CF02D6E" w:rsidR="0095211D" w:rsidRDefault="0095211D" w:rsidP="00B65B6B">
        <w:pPr>
          <w:pStyle w:val="utrang"/>
          <w:framePr w:wrap="none" w:vAnchor="text" w:hAnchor="margin" w:xAlign="center" w:y="1"/>
          <w:rPr>
            <w:rStyle w:val="Strang"/>
          </w:rPr>
        </w:pPr>
        <w:r>
          <w:rPr>
            <w:rStyle w:val="Strang"/>
          </w:rPr>
          <w:fldChar w:fldCharType="begin"/>
        </w:r>
        <w:r>
          <w:rPr>
            <w:rStyle w:val="Strang"/>
          </w:rPr>
          <w:instrText xml:space="preserve"> PAGE </w:instrText>
        </w:r>
        <w:r>
          <w:rPr>
            <w:rStyle w:val="Strang"/>
          </w:rPr>
          <w:fldChar w:fldCharType="end"/>
        </w:r>
      </w:p>
    </w:sdtContent>
  </w:sdt>
  <w:sdt>
    <w:sdtPr>
      <w:rPr>
        <w:rStyle w:val="Strang"/>
      </w:rPr>
      <w:id w:val="1337199388"/>
      <w:docPartObj>
        <w:docPartGallery w:val="Page Numbers (Top of Page)"/>
        <w:docPartUnique/>
      </w:docPartObj>
    </w:sdtPr>
    <w:sdtContent>
      <w:p w14:paraId="2AF3ED14" w14:textId="685F3754" w:rsidR="003F0A90" w:rsidRDefault="003F0A90" w:rsidP="00B65B6B">
        <w:pPr>
          <w:pStyle w:val="utrang"/>
          <w:framePr w:wrap="none" w:vAnchor="text" w:hAnchor="margin" w:xAlign="center" w:y="1"/>
          <w:rPr>
            <w:rStyle w:val="Strang"/>
          </w:rPr>
        </w:pPr>
        <w:r>
          <w:rPr>
            <w:rStyle w:val="Strang"/>
          </w:rPr>
          <w:fldChar w:fldCharType="begin"/>
        </w:r>
        <w:r>
          <w:rPr>
            <w:rStyle w:val="Strang"/>
          </w:rPr>
          <w:instrText xml:space="preserve"> PAGE </w:instrText>
        </w:r>
        <w:r>
          <w:rPr>
            <w:rStyle w:val="Strang"/>
          </w:rPr>
          <w:fldChar w:fldCharType="end"/>
        </w:r>
      </w:p>
    </w:sdtContent>
  </w:sdt>
  <w:p w14:paraId="2584D96F" w14:textId="77777777" w:rsidR="003F0A90" w:rsidRDefault="003F0A90">
    <w:pPr>
      <w:pStyle w:val="utra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trang"/>
      </w:rPr>
      <w:id w:val="-2140026063"/>
      <w:docPartObj>
        <w:docPartGallery w:val="Page Numbers (Top of Page)"/>
        <w:docPartUnique/>
      </w:docPartObj>
    </w:sdtPr>
    <w:sdtContent>
      <w:p w14:paraId="608195C5" w14:textId="59E33705" w:rsidR="0095211D" w:rsidRDefault="0095211D" w:rsidP="00B65B6B">
        <w:pPr>
          <w:pStyle w:val="utrang"/>
          <w:framePr w:wrap="none" w:vAnchor="text" w:hAnchor="margin" w:xAlign="center" w:y="1"/>
          <w:rPr>
            <w:rStyle w:val="Strang"/>
          </w:rPr>
        </w:pPr>
        <w:r w:rsidRPr="00A131CE">
          <w:rPr>
            <w:rStyle w:val="Strang"/>
            <w:rFonts w:ascii="Times New Roman" w:hAnsi="Times New Roman" w:cs="Times New Roman"/>
            <w:sz w:val="28"/>
            <w:szCs w:val="28"/>
          </w:rPr>
          <w:fldChar w:fldCharType="begin"/>
        </w:r>
        <w:r w:rsidRPr="00A131CE">
          <w:rPr>
            <w:rStyle w:val="Strang"/>
            <w:rFonts w:ascii="Times New Roman" w:hAnsi="Times New Roman" w:cs="Times New Roman"/>
            <w:sz w:val="28"/>
            <w:szCs w:val="28"/>
          </w:rPr>
          <w:instrText xml:space="preserve"> PAGE </w:instrText>
        </w:r>
        <w:r w:rsidRPr="00A131CE">
          <w:rPr>
            <w:rStyle w:val="Strang"/>
            <w:rFonts w:ascii="Times New Roman" w:hAnsi="Times New Roman" w:cs="Times New Roman"/>
            <w:sz w:val="28"/>
            <w:szCs w:val="28"/>
          </w:rPr>
          <w:fldChar w:fldCharType="separate"/>
        </w:r>
        <w:r w:rsidR="00214EA3">
          <w:rPr>
            <w:rStyle w:val="Strang"/>
            <w:rFonts w:ascii="Times New Roman" w:hAnsi="Times New Roman" w:cs="Times New Roman"/>
            <w:noProof/>
            <w:sz w:val="28"/>
            <w:szCs w:val="28"/>
          </w:rPr>
          <w:t>6</w:t>
        </w:r>
        <w:r w:rsidRPr="00A131CE">
          <w:rPr>
            <w:rStyle w:val="Strang"/>
            <w:rFonts w:ascii="Times New Roman" w:hAnsi="Times New Roman" w:cs="Times New Roman"/>
            <w:sz w:val="28"/>
            <w:szCs w:val="28"/>
          </w:rPr>
          <w:fldChar w:fldCharType="end"/>
        </w:r>
      </w:p>
    </w:sdtContent>
  </w:sdt>
  <w:p w14:paraId="16627DA5" w14:textId="77777777" w:rsidR="00DD2E54" w:rsidRDefault="00DD2E54" w:rsidP="00A131CE">
    <w:pPr>
      <w:tabs>
        <w:tab w:val="center" w:pos="4680"/>
        <w:tab w:val="right" w:pos="936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trang"/>
      </w:rPr>
      <w:id w:val="619196485"/>
      <w:docPartObj>
        <w:docPartGallery w:val="Page Numbers (Top of Page)"/>
        <w:docPartUnique/>
      </w:docPartObj>
    </w:sdtPr>
    <w:sdtContent>
      <w:p w14:paraId="38E58D37" w14:textId="487B048A" w:rsidR="003F0A90" w:rsidRDefault="003F0A90" w:rsidP="00B65B6B">
        <w:pPr>
          <w:pStyle w:val="utrang"/>
          <w:framePr w:wrap="none" w:vAnchor="text" w:hAnchor="margin" w:xAlign="center" w:y="1"/>
          <w:rPr>
            <w:rStyle w:val="Strang"/>
          </w:rPr>
        </w:pPr>
        <w:r w:rsidRPr="00A131CE">
          <w:rPr>
            <w:rStyle w:val="Strang"/>
            <w:rFonts w:ascii="Times New Roman" w:hAnsi="Times New Roman" w:cs="Times New Roman"/>
            <w:sz w:val="28"/>
            <w:szCs w:val="28"/>
          </w:rPr>
          <w:fldChar w:fldCharType="begin"/>
        </w:r>
        <w:r w:rsidRPr="00A131CE">
          <w:rPr>
            <w:rStyle w:val="Strang"/>
            <w:rFonts w:ascii="Times New Roman" w:hAnsi="Times New Roman" w:cs="Times New Roman"/>
            <w:sz w:val="28"/>
            <w:szCs w:val="28"/>
          </w:rPr>
          <w:instrText xml:space="preserve"> PAGE </w:instrText>
        </w:r>
        <w:r w:rsidRPr="00A131CE">
          <w:rPr>
            <w:rStyle w:val="Strang"/>
            <w:rFonts w:ascii="Times New Roman" w:hAnsi="Times New Roman" w:cs="Times New Roman"/>
            <w:sz w:val="28"/>
            <w:szCs w:val="28"/>
          </w:rPr>
          <w:fldChar w:fldCharType="separate"/>
        </w:r>
        <w:r w:rsidR="00214EA3">
          <w:rPr>
            <w:rStyle w:val="Strang"/>
            <w:rFonts w:ascii="Times New Roman" w:hAnsi="Times New Roman" w:cs="Times New Roman"/>
            <w:noProof/>
            <w:sz w:val="28"/>
            <w:szCs w:val="28"/>
          </w:rPr>
          <w:t>5</w:t>
        </w:r>
        <w:r w:rsidRPr="00A131CE">
          <w:rPr>
            <w:rStyle w:val="Strang"/>
            <w:rFonts w:ascii="Times New Roman" w:hAnsi="Times New Roman" w:cs="Times New Roman"/>
            <w:sz w:val="28"/>
            <w:szCs w:val="28"/>
          </w:rPr>
          <w:fldChar w:fldCharType="end"/>
        </w:r>
      </w:p>
    </w:sdtContent>
  </w:sdt>
  <w:p w14:paraId="2EC97869" w14:textId="77777777" w:rsidR="00DD2E54" w:rsidRDefault="00DD2E54">
    <w:pPr>
      <w:widowControl w:val="0"/>
      <w:spacing w:after="0"/>
      <w:rPr>
        <w:rFonts w:ascii="Times New Roman" w:hAnsi="Times New Roman" w:cs="Times New Roman"/>
        <w:sz w:val="28"/>
        <w:szCs w:val="28"/>
        <w:lang w:val="en-US"/>
      </w:rPr>
    </w:pPr>
  </w:p>
  <w:p w14:paraId="27C3C844" w14:textId="77777777" w:rsidR="003F0A90" w:rsidRPr="00A131CE" w:rsidRDefault="003F0A90">
    <w:pPr>
      <w:widowControl w:val="0"/>
      <w:spacing w:after="0"/>
      <w:rPr>
        <w:rFonts w:ascii="Times New Roman" w:hAnsi="Times New Roman" w:cs="Times New Roman"/>
        <w:sz w:val="28"/>
        <w:szCs w:val="28"/>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FDBD" w14:textId="77777777" w:rsidR="00DD2E54" w:rsidRDefault="00DD2E54">
    <w:pPr>
      <w:widowControl w:val="0"/>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E54"/>
    <w:rsid w:val="00013F42"/>
    <w:rsid w:val="00085A71"/>
    <w:rsid w:val="00092CC9"/>
    <w:rsid w:val="000B0234"/>
    <w:rsid w:val="000D1DD4"/>
    <w:rsid w:val="0013430A"/>
    <w:rsid w:val="001B0BE6"/>
    <w:rsid w:val="001D4C6F"/>
    <w:rsid w:val="00214EA3"/>
    <w:rsid w:val="002502DF"/>
    <w:rsid w:val="00282DF7"/>
    <w:rsid w:val="00292F31"/>
    <w:rsid w:val="002F7C66"/>
    <w:rsid w:val="00333507"/>
    <w:rsid w:val="003B6EEC"/>
    <w:rsid w:val="003C3A55"/>
    <w:rsid w:val="003F0A90"/>
    <w:rsid w:val="00407395"/>
    <w:rsid w:val="00443A6F"/>
    <w:rsid w:val="00482D51"/>
    <w:rsid w:val="00530B75"/>
    <w:rsid w:val="005567AB"/>
    <w:rsid w:val="0056403F"/>
    <w:rsid w:val="005644F9"/>
    <w:rsid w:val="005727A6"/>
    <w:rsid w:val="005F55F7"/>
    <w:rsid w:val="0064654E"/>
    <w:rsid w:val="00717510"/>
    <w:rsid w:val="00725EE7"/>
    <w:rsid w:val="00734A5F"/>
    <w:rsid w:val="0075365F"/>
    <w:rsid w:val="00793E2D"/>
    <w:rsid w:val="00797EB7"/>
    <w:rsid w:val="008765D5"/>
    <w:rsid w:val="00876B2F"/>
    <w:rsid w:val="00881250"/>
    <w:rsid w:val="0092683E"/>
    <w:rsid w:val="009378B5"/>
    <w:rsid w:val="0095211D"/>
    <w:rsid w:val="00954DC4"/>
    <w:rsid w:val="00966707"/>
    <w:rsid w:val="00983405"/>
    <w:rsid w:val="00A131CE"/>
    <w:rsid w:val="00A567C7"/>
    <w:rsid w:val="00A57BDF"/>
    <w:rsid w:val="00AD201C"/>
    <w:rsid w:val="00AD395C"/>
    <w:rsid w:val="00AE0E40"/>
    <w:rsid w:val="00AF1B84"/>
    <w:rsid w:val="00B47F0C"/>
    <w:rsid w:val="00B60B81"/>
    <w:rsid w:val="00B87CAC"/>
    <w:rsid w:val="00BB2C83"/>
    <w:rsid w:val="00BB3193"/>
    <w:rsid w:val="00BB6447"/>
    <w:rsid w:val="00BF781D"/>
    <w:rsid w:val="00C541DE"/>
    <w:rsid w:val="00C61481"/>
    <w:rsid w:val="00C8452A"/>
    <w:rsid w:val="00CA59F1"/>
    <w:rsid w:val="00DA7526"/>
    <w:rsid w:val="00DD2E54"/>
    <w:rsid w:val="00DE7EE5"/>
    <w:rsid w:val="00E04D4E"/>
    <w:rsid w:val="00E13840"/>
    <w:rsid w:val="00E56DAB"/>
    <w:rsid w:val="00E90615"/>
    <w:rsid w:val="00EA704E"/>
    <w:rsid w:val="00ED6038"/>
    <w:rsid w:val="00FA2260"/>
    <w:rsid w:val="00FA791D"/>
    <w:rsid w:val="00FC5413"/>
    <w:rsid w:val="00FF10B5"/>
    <w:rsid w:val="7F090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3D472"/>
  <w15:docId w15:val="{1FF31724-C6C6-8043-BABE-10029AED0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after="160" w:line="276" w:lineRule="auto"/>
    </w:pPr>
    <w:rPr>
      <w:sz w:val="24"/>
      <w:szCs w:val="24"/>
      <w:lang w:val="en"/>
    </w:rPr>
  </w:style>
  <w:style w:type="paragraph" w:styleId="u1">
    <w:name w:val="heading 1"/>
    <w:basedOn w:val="Binhthng"/>
    <w:next w:val="Binhthng"/>
    <w:qFormat/>
    <w:pPr>
      <w:keepNext/>
      <w:keepLines/>
      <w:spacing w:before="360" w:after="80"/>
      <w:outlineLvl w:val="0"/>
    </w:pPr>
    <w:rPr>
      <w:color w:val="2F5496"/>
      <w:sz w:val="40"/>
      <w:szCs w:val="40"/>
    </w:rPr>
  </w:style>
  <w:style w:type="paragraph" w:styleId="u2">
    <w:name w:val="heading 2"/>
    <w:basedOn w:val="Binhthng"/>
    <w:next w:val="Binhthng"/>
    <w:qFormat/>
    <w:pPr>
      <w:keepNext/>
      <w:keepLines/>
      <w:spacing w:before="160" w:after="80"/>
      <w:outlineLvl w:val="1"/>
    </w:pPr>
    <w:rPr>
      <w:color w:val="2F5496"/>
      <w:sz w:val="32"/>
      <w:szCs w:val="32"/>
    </w:rPr>
  </w:style>
  <w:style w:type="paragraph" w:styleId="u3">
    <w:name w:val="heading 3"/>
    <w:basedOn w:val="Binhthng"/>
    <w:next w:val="Binhthng"/>
    <w:qFormat/>
    <w:pPr>
      <w:keepNext/>
      <w:keepLines/>
      <w:spacing w:before="160" w:after="80"/>
      <w:outlineLvl w:val="2"/>
    </w:pPr>
    <w:rPr>
      <w:color w:val="2F5496"/>
      <w:sz w:val="28"/>
      <w:szCs w:val="28"/>
    </w:rPr>
  </w:style>
  <w:style w:type="paragraph" w:styleId="u4">
    <w:name w:val="heading 4"/>
    <w:basedOn w:val="Binhthng"/>
    <w:next w:val="Binhthng"/>
    <w:qFormat/>
    <w:pPr>
      <w:keepNext/>
      <w:keepLines/>
      <w:spacing w:before="80" w:after="40"/>
      <w:outlineLvl w:val="3"/>
    </w:pPr>
    <w:rPr>
      <w:i/>
      <w:iCs/>
      <w:color w:val="2F5496"/>
    </w:rPr>
  </w:style>
  <w:style w:type="paragraph" w:styleId="u5">
    <w:name w:val="heading 5"/>
    <w:basedOn w:val="Binhthng"/>
    <w:next w:val="Binhthng"/>
    <w:qFormat/>
    <w:pPr>
      <w:keepNext/>
      <w:keepLines/>
      <w:spacing w:before="80" w:after="40"/>
      <w:outlineLvl w:val="4"/>
    </w:pPr>
    <w:rPr>
      <w:color w:val="2F5496"/>
    </w:rPr>
  </w:style>
  <w:style w:type="paragraph" w:styleId="u6">
    <w:name w:val="heading 6"/>
    <w:basedOn w:val="Binhthng"/>
    <w:next w:val="Binhthng"/>
    <w:qFormat/>
    <w:pPr>
      <w:keepNext/>
      <w:keepLines/>
      <w:spacing w:before="40" w:after="0"/>
      <w:outlineLvl w:val="5"/>
    </w:pPr>
    <w:rPr>
      <w:i/>
      <w:iCs/>
      <w:color w:val="595959"/>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phu">
    <w:name w:val="Subtitle"/>
    <w:basedOn w:val="Binhthng"/>
    <w:next w:val="Binhthng"/>
    <w:qFormat/>
    <w:rPr>
      <w:color w:val="595959"/>
      <w:sz w:val="28"/>
      <w:szCs w:val="28"/>
    </w:rPr>
  </w:style>
  <w:style w:type="paragraph" w:styleId="Tiu">
    <w:name w:val="Title"/>
    <w:basedOn w:val="Binhthng"/>
    <w:next w:val="Binhthng"/>
    <w:pPr>
      <w:keepNext/>
      <w:keepLines/>
      <w:spacing w:before="480" w:after="120"/>
    </w:pPr>
    <w:rPr>
      <w:b/>
      <w:bCs/>
      <w:sz w:val="72"/>
      <w:szCs w:val="72"/>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tblCellMar>
        <w:top w:w="0" w:type="dxa"/>
        <w:left w:w="115" w:type="dxa"/>
        <w:bottom w:w="0" w:type="dxa"/>
        <w:right w:w="115" w:type="dxa"/>
      </w:tblCellMar>
    </w:tblPr>
  </w:style>
  <w:style w:type="table" w:customStyle="1" w:styleId="Style11">
    <w:name w:val="_Style 11"/>
    <w:basedOn w:val="TableNormal"/>
    <w:qFormat/>
    <w:tblPr>
      <w:tblCellMar>
        <w:top w:w="0" w:type="dxa"/>
        <w:left w:w="115" w:type="dxa"/>
        <w:bottom w:w="0" w:type="dxa"/>
        <w:right w:w="115" w:type="dxa"/>
      </w:tblCellMar>
    </w:tblPr>
  </w:style>
  <w:style w:type="table" w:customStyle="1" w:styleId="Style12">
    <w:name w:val="_Style 12"/>
    <w:basedOn w:val="TableNormal"/>
    <w:qFormat/>
    <w:tblPr>
      <w:tblCellMar>
        <w:top w:w="0" w:type="dxa"/>
        <w:left w:w="115" w:type="dxa"/>
        <w:bottom w:w="0" w:type="dxa"/>
        <w:right w:w="115" w:type="dxa"/>
      </w:tblCellMar>
    </w:tblPr>
  </w:style>
  <w:style w:type="table" w:customStyle="1" w:styleId="Style13">
    <w:name w:val="_Style 13"/>
    <w:basedOn w:val="TableNormal"/>
    <w:qFormat/>
    <w:tblPr>
      <w:tblCellMar>
        <w:top w:w="0" w:type="dxa"/>
        <w:left w:w="115" w:type="dxa"/>
        <w:bottom w:w="0" w:type="dxa"/>
        <w:right w:w="115" w:type="dxa"/>
      </w:tblCellMar>
    </w:tblPr>
  </w:style>
  <w:style w:type="table" w:customStyle="1" w:styleId="Style14">
    <w:name w:val="_Style 14"/>
    <w:basedOn w:val="TableNormal"/>
    <w:tblPr>
      <w:tblCellMar>
        <w:top w:w="0" w:type="dxa"/>
        <w:left w:w="115" w:type="dxa"/>
        <w:bottom w:w="0" w:type="dxa"/>
        <w:right w:w="115" w:type="dxa"/>
      </w:tblCellMar>
    </w:tblPr>
  </w:style>
  <w:style w:type="table" w:customStyle="1" w:styleId="Style15">
    <w:name w:val="_Style 15"/>
    <w:basedOn w:val="TableNormal"/>
    <w:tblPr>
      <w:tblCellMar>
        <w:top w:w="0" w:type="dxa"/>
        <w:left w:w="115" w:type="dxa"/>
        <w:bottom w:w="0" w:type="dxa"/>
        <w:right w:w="115" w:type="dxa"/>
      </w:tblCellMar>
    </w:tblPr>
  </w:style>
  <w:style w:type="paragraph" w:styleId="Duytlai">
    <w:name w:val="Revision"/>
    <w:hidden/>
    <w:uiPriority w:val="99"/>
    <w:unhideWhenUsed/>
    <w:rsid w:val="00BB3193"/>
    <w:rPr>
      <w:sz w:val="24"/>
      <w:szCs w:val="24"/>
      <w:lang w:val="en"/>
    </w:rPr>
  </w:style>
  <w:style w:type="paragraph" w:styleId="utrang">
    <w:name w:val="header"/>
    <w:basedOn w:val="Binhthng"/>
    <w:link w:val="utrangChar"/>
    <w:rsid w:val="00BB3193"/>
    <w:pPr>
      <w:tabs>
        <w:tab w:val="center" w:pos="4680"/>
        <w:tab w:val="right" w:pos="9360"/>
      </w:tabs>
      <w:spacing w:after="0" w:line="240" w:lineRule="auto"/>
    </w:pPr>
  </w:style>
  <w:style w:type="character" w:customStyle="1" w:styleId="utrangChar">
    <w:name w:val="Đầu trang Char"/>
    <w:basedOn w:val="Phngmcinhcuaoanvn"/>
    <w:link w:val="utrang"/>
    <w:rsid w:val="00BB3193"/>
    <w:rPr>
      <w:sz w:val="24"/>
      <w:szCs w:val="24"/>
      <w:lang w:val="en"/>
    </w:rPr>
  </w:style>
  <w:style w:type="paragraph" w:styleId="Chntrang">
    <w:name w:val="footer"/>
    <w:basedOn w:val="Binhthng"/>
    <w:link w:val="ChntrangChar"/>
    <w:rsid w:val="00BB3193"/>
    <w:pPr>
      <w:tabs>
        <w:tab w:val="center" w:pos="4680"/>
        <w:tab w:val="right" w:pos="9360"/>
      </w:tabs>
      <w:spacing w:after="0" w:line="240" w:lineRule="auto"/>
    </w:pPr>
  </w:style>
  <w:style w:type="character" w:customStyle="1" w:styleId="ChntrangChar">
    <w:name w:val="Chân trang Char"/>
    <w:basedOn w:val="Phngmcinhcuaoanvn"/>
    <w:link w:val="Chntrang"/>
    <w:rsid w:val="00BB3193"/>
    <w:rPr>
      <w:sz w:val="24"/>
      <w:szCs w:val="24"/>
      <w:lang w:val="en"/>
    </w:rPr>
  </w:style>
  <w:style w:type="table" w:styleId="LiBang">
    <w:name w:val="Table Grid"/>
    <w:basedOn w:val="BangThngthng"/>
    <w:uiPriority w:val="59"/>
    <w:rsid w:val="00BB31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ang">
    <w:name w:val="page number"/>
    <w:basedOn w:val="Phngmcinhcuaoanvn"/>
    <w:rsid w:val="003F0A90"/>
  </w:style>
  <w:style w:type="paragraph" w:styleId="oancuaDanhsach">
    <w:name w:val="List Paragraph"/>
    <w:basedOn w:val="Binhthng"/>
    <w:uiPriority w:val="99"/>
    <w:unhideWhenUsed/>
    <w:rsid w:val="00564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4385BBFD-F5A4-46F2-880B-E563825E0FB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48</Pages>
  <Words>12945</Words>
  <Characters>73790</Characters>
  <Application>Microsoft Office Word</Application>
  <DocSecurity>0</DocSecurity>
  <Lines>614</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nhung</dc:creator>
  <cp:lastModifiedBy>Huyền Bùi</cp:lastModifiedBy>
  <cp:revision>25</cp:revision>
  <dcterms:created xsi:type="dcterms:W3CDTF">2026-07-11T05:22:00Z</dcterms:created>
  <dcterms:modified xsi:type="dcterms:W3CDTF">2026-07-27T08:25:00Z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eyJoZGlkIjoiYjNiMDkzMDJkMjJmYmU1OTFlNjE3NTY4MjU3MzZmZGEiLCJ1c2VySWQiOiIxMzkyMjk1ODY4NjY1In0=</vt:lpwstr>
  </property>
  <property fmtid="{D5CDD505-2E9C-101B-9397-08002B2CF9AE}" pid="3" name="KSOProductBuildVer">
    <vt:lpwstr>1033-12.1.0.26880</vt:lpwstr>
  </property>
  <property fmtid="{D5CDD505-2E9C-101B-9397-08002B2CF9AE}" pid="4" name="ICV">
    <vt:lpwstr>216CABDEE70C4DC8B8DC924F78F5F2FB_13</vt:lpwstr>
  </property>
</Properties>
</file>