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60"/>
        <w:jc w:val="center"/>
      </w:pPr>
      <w:r>
        <w:rPr>
          <w:rFonts w:ascii="Times New Roman" w:cs="Times New Roman" w:eastAsia="Times New Roman" w:hAnsi="Times New Roman"/>
          <w:b/>
          <w:bCs/>
          <w:sz w:val="32"/>
          <w:szCs w:val="32"/>
        </w:rPr>
        <w:t xml:space="preserve">TÀI LIỆU HỌP</w:t>
      </w:r>
    </w:p>
    <w:p>
      <w:pPr>
        <w:spacing w:after="120" w:before="0" w:line="360"/>
        <w:jc w:val="center"/>
      </w:pPr>
      <w:r>
        <w:rPr>
          <w:rFonts w:ascii="Times New Roman" w:cs="Times New Roman" w:eastAsia="Times New Roman" w:hAnsi="Times New Roman"/>
          <w:b/>
          <w:bCs/>
          <w:sz w:val="28"/>
          <w:szCs w:val="28"/>
        </w:rPr>
        <w:t xml:space="preserve">Về việc tham gia ý kiến đối với Hồ sơ chính sách</w:t>
      </w:r>
    </w:p>
    <w:p>
      <w:pPr>
        <w:spacing w:after="120" w:before="0" w:line="360"/>
        <w:jc w:val="center"/>
      </w:pPr>
      <w:r>
        <w:rPr>
          <w:rFonts w:ascii="Times New Roman" w:cs="Times New Roman" w:eastAsia="Times New Roman" w:hAnsi="Times New Roman"/>
          <w:b/>
          <w:bCs/>
          <w:sz w:val="28"/>
          <w:szCs w:val="28"/>
        </w:rPr>
        <w:t xml:space="preserve">dự án Luật An ninh dữ liệu</w:t>
      </w:r>
    </w:p>
    <w:p>
      <w:pPr>
        <w:spacing w:after="360" w:before="0" w:line="360"/>
        <w:jc w:val="center"/>
      </w:pPr>
      <w:r>
        <w:rPr>
          <w:rFonts w:ascii="Times New Roman" w:cs="Times New Roman" w:eastAsia="Times New Roman" w:hAnsi="Times New Roman"/>
          <w:i/>
          <w:iCs/>
          <w:sz w:val="28"/>
          <w:szCs w:val="28"/>
        </w:rPr>
        <w:t xml:space="preserve">(Phục vụ cuộc họp do A05 chủ trì)</w:t>
      </w:r>
    </w:p>
    <w:p>
      <w:pPr>
        <w:spacing w:after="120" w:before="240" w:line="360"/>
        <w:jc w:val="left"/>
      </w:pPr>
      <w:r>
        <w:rPr>
          <w:rFonts w:ascii="Times New Roman" w:cs="Times New Roman" w:eastAsia="Times New Roman" w:hAnsi="Times New Roman"/>
          <w:b/>
          <w:bCs/>
          <w:sz w:val="28"/>
          <w:szCs w:val="28"/>
        </w:rPr>
        <w:t xml:space="preserve">I. Bối cảnh</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Cục An ninh mạng và phòng, chống tội phạm sử dụng công nghệ cao (A05) đang chủ trì xây dựng Hồ sơ chính sách dự án Luật An ninh dữ liệu, gồm bốn văn bản: Tờ trình Chính phủ, Báo cáo đánh giá tác động chính sách, Báo cáo đánh giá thực trạng quan hệ xã hội liên quan đến chính sách và Báo cáo rà soát các chủ trương, đường lối của Đảng, văn bản quy phạm pháp luật và điều ước quốc tế có liên quan.</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Tại Công văn số 2596/A05-P1 ngày 31/3/2026, A05 đề nghị các đơn vị tham gia ý kiến đối với Hồ sơ. Qua nghiên cứu, Tổ 5 đã có Công văn số .../T5 góp ý 07 nội dung. Tài liệu này tổng hợp các nội dung góp ý phục vụ trao đổi tại cuộc họp.</w:t>
      </w:r>
    </w:p>
    <w:p>
      <w:pPr>
        <w:spacing w:after="120" w:before="240" w:line="360"/>
        <w:jc w:val="left"/>
      </w:pPr>
      <w:r>
        <w:rPr>
          <w:rFonts w:ascii="Times New Roman" w:cs="Times New Roman" w:eastAsia="Times New Roman" w:hAnsi="Times New Roman"/>
          <w:b/>
          <w:bCs/>
          <w:sz w:val="28"/>
          <w:szCs w:val="28"/>
        </w:rPr>
        <w:t xml:space="preserve">II. Quan điểm tổng thể</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Tổ 5 ghi nhận sự cần thiết của việc xây dựng khuôn khổ pháp lý chuyên biệt về an ninh dữ liệu trong bối cảnh chuyển đổi số và rủi ro phi truyền thống ngày càng phức tạp. Hướng tiếp cận quản trị dựa trên rủi ro, chuyển từ tiền kiểm sang hậu kiểm tại Hồ sơ là phù hợp với xu hướng lập pháp quốc tế.</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Tuy nhiên, qua đối chiếu với hệ thống pháp luật hiện hành, nhiều nội dung mà Hồ sơ đề xuất luật hóa </w:t>
      </w:r>
      <w:r>
        <w:rPr>
          <w:rFonts w:ascii="Times New Roman" w:cs="Times New Roman" w:eastAsia="Times New Roman" w:hAnsi="Times New Roman"/>
          <w:b/>
          <w:bCs/>
          <w:i w:val="false"/>
          <w:iCs w:val="false"/>
          <w:sz w:val="28"/>
          <w:szCs w:val="28"/>
        </w:rPr>
        <w:t xml:space="preserve">đã được quy định</w:t>
      </w:r>
      <w:r>
        <w:rPr>
          <w:rFonts w:ascii="Times New Roman" w:cs="Times New Roman" w:eastAsia="Times New Roman" w:hAnsi="Times New Roman"/>
          <w:b w:val="false"/>
          <w:bCs w:val="false"/>
          <w:i w:val="false"/>
          <w:iCs w:val="false"/>
          <w:sz w:val="28"/>
          <w:szCs w:val="28"/>
        </w:rPr>
        <w:t xml:space="preserve"> tại các văn bản đã có hiệu lực thi hành, gồm:</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Luật Dữ liệu số 60/2024/QH15 (đạo luật gốc về dữ liệu);</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Nghị định số 165/2025/NĐ-CP (hướng dẫn Luật Dữ liệu, có hiệu lực từ 01/7/2025);</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Luật Trí tuệ nhân tạo số 134/2025/QH15 (có hiệu lực từ 01/3/2026);</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Luật An ninh mạng số 116/2025/QH15 (có hiệu lực từ 01/7/2026);</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Luật Bảo vệ dữ liệu cá nhân số 91/2025/QH15 (có hiệu lực từ 01/01/2026).</w:t>
      </w:r>
    </w:p>
    <w:p>
      <w:pPr>
        <w:spacing w:after="0" w:before="120" w:line="360"/>
        <w:ind w:firstLine="567"/>
        <w:jc w:val="both"/>
      </w:pPr>
      <w:r>
        <w:rPr>
          <w:rFonts w:ascii="Times New Roman" w:cs="Times New Roman" w:eastAsia="Times New Roman" w:hAnsi="Times New Roman"/>
          <w:b w:val="false"/>
          <w:bCs w:val="false"/>
          <w:i w:val="false"/>
          <w:iCs w:val="false"/>
          <w:sz w:val="28"/>
          <w:szCs w:val="28"/>
        </w:rPr>
        <w:t xml:space="preserve">Việc xây dựng Luật An ninh dữ liệu cần được nghiên cứu trong tương quan chặt chẽ với hệ thống pháp luật nêu trên để bảo đảm tính thống nhất, đồng bộ; tránh tạo ra sự chồng chéo về phạm vi điều chỉnh và gánh nặng tuân thủ trùng lặp đối với cơ quan, tổ chức, doanh nghiệp.</w:t>
      </w:r>
    </w:p>
    <w:p>
      <w:pPr>
        <w:spacing w:after="120" w:before="240" w:line="360"/>
        <w:jc w:val="left"/>
      </w:pPr>
      <w:r>
        <w:rPr>
          <w:rFonts w:ascii="Times New Roman" w:cs="Times New Roman" w:eastAsia="Times New Roman" w:hAnsi="Times New Roman"/>
          <w:b/>
          <w:bCs/>
          <w:sz w:val="28"/>
          <w:szCs w:val="28"/>
        </w:rPr>
        <w:t xml:space="preserve">III. Các nội dung góp ý cụ thể</w:t>
      </w:r>
    </w:p>
    <w:p>
      <w:pPr>
        <w:spacing w:after="80" w:before="200" w:line="360"/>
        <w:ind w:firstLine="567"/>
        <w:jc w:val="left"/>
      </w:pPr>
      <w:r>
        <w:rPr>
          <w:rFonts w:ascii="Times New Roman" w:cs="Times New Roman" w:eastAsia="Times New Roman" w:hAnsi="Times New Roman"/>
          <w:b/>
          <w:bCs/>
          <w:sz w:val="28"/>
          <w:szCs w:val="28"/>
        </w:rPr>
        <w:t xml:space="preserve">1. Về phân loại cấp độ dữ liệu</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Phân loại dữ liệu theo bốn cấp độ rủi ro nhưng sử dụng thuật ngữ chưa thống nhất giữa các văn bản trong Hồ sơ. Tờ trình Chính sách 1 đề cập "Cốt lõi - Quan trọng"; Tờ trình Chính sách 2 đặt tên "Cấp độ 1, 2, 3, 4"; Báo cáo đánh giá tác động sử dụng "Cốt lõi - Quan trọng - Cần thiết - Phổ thông".</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Điều 13 Luật Dữ liệu đã quy định phân loại theo tính chất quan trọng gồm ba nhóm: dữ liệu cốt lõi, dữ liệu quan trọng và dữ liệu khác. Điều 15 Nghị định 165/2025 quy định bốn loại rủi ro phát sinh trong xử lý dữ liệu (rủi ro quyền riêng tư, rủi ro an ninh mạng, rủi ro nhận dạng và quản lý truy cập, rủi ro khác).</w:t>
      </w:r>
    </w:p>
    <w:p>
      <w:pPr>
        <w:spacing w:after="0" w:before="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Nội bộ Hồ sơ chưa nhất quán về thuật ngữ phân loại. Trường hợp Luật An ninh dữ liệu ban hành với khung phân loại bốn cấp độ riêng, doanh nghiệp và cơ quan nhà nước sẽ phải đồng thời áp dụng hai quy trình phân loại trên cùng đối tượng dữ liệu.</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Thống nhất bộ thuật ngữ phân loại xuyên suốt Hồ sơ; kế thừa khung phân loại tại Điều 13 Luật Dữ liệu và bốn loại rủi ro tại Điều 15 Nghị định 165/2025; trường hợp cần phân loại sâu hơn cho mục đích an ninh, đề nghị xây dựng tiêu chí phân nhánh trong nội bộ nhóm "cốt lõi" và "quan trọng".</w:t>
      </w:r>
    </w:p>
    <w:p>
      <w:pPr>
        <w:spacing w:after="80" w:before="200" w:line="360"/>
        <w:ind w:firstLine="567"/>
        <w:jc w:val="left"/>
      </w:pPr>
      <w:r>
        <w:rPr>
          <w:rFonts w:ascii="Times New Roman" w:cs="Times New Roman" w:eastAsia="Times New Roman" w:hAnsi="Times New Roman"/>
          <w:b/>
          <w:bCs/>
          <w:sz w:val="28"/>
          <w:szCs w:val="28"/>
        </w:rPr>
        <w:t xml:space="preserve">2. Về bảo vệ dữ liệu xuyên suốt vòng đời (Chính sách 2)</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Chính sách 2 quy định về bảo đảm an ninh dữ liệu xuyên suốt vòng đời, tiêu chuẩn mật mã tiên tiến, biện pháp bảo vệ, kiểm soát rủi ro, ứng phó sự cố và phục hồi dữ liệu.</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Khoản 1 Điều 27 Luật Dữ liệu đã quy định </w:t>
      </w:r>
      <w:r>
        <w:rPr>
          <w:rFonts w:ascii="Times New Roman" w:cs="Times New Roman" w:eastAsia="Times New Roman" w:hAnsi="Times New Roman"/>
          <w:b w:val="false"/>
          <w:bCs w:val="false"/>
          <w:i/>
          <w:iCs/>
          <w:sz w:val="28"/>
          <w:szCs w:val="28"/>
        </w:rPr>
        <w:t xml:space="preserve">"Biện pháp bảo vệ dữ liệu được áp dụng trong toàn bộ quá trình xử lý dữ liệu"</w:t>
      </w:r>
      <w:r>
        <w:rPr>
          <w:rFonts w:ascii="Times New Roman" w:cs="Times New Roman" w:eastAsia="Times New Roman" w:hAnsi="Times New Roman"/>
          <w:b w:val="false"/>
          <w:bCs w:val="false"/>
          <w:i w:val="false"/>
          <w:iCs w:val="false"/>
          <w:sz w:val="28"/>
          <w:szCs w:val="28"/>
        </w:rPr>
        <w:t xml:space="preserve">; khoản 4 Điều 27 quy định cơ chế thông báo, phối hợp giữa chủ quản dữ liệu và đơn vị chuyên trách thuộc Bộ Công an, Bộ Quốc phòng. Điều 15 và Điều 19 Nghị định 165/2025 quy định chi tiết về quản lý rủi ro và giám sát bảo mật, cảnh báo sớm, quản lý khẩn cấp.</w:t>
      </w:r>
    </w:p>
    <w:p>
      <w:pPr>
        <w:spacing w:after="0" w:before="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Phạm vi điều chỉnh của Chính sách 2 trùng với các quy định nêu trên. Nghị định 165/2025 mới có hiệu lực từ 01/7/2025 và đang triển khai vận hành.</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Làm rõ phạm vi của Chính sách 2 trong tương quan với Điều 27 Luật Dữ liệu, Điều 15 và Điều 19 Nghị định 165/2025; xác định nội dung mới mà Luật An ninh dữ liệu bổ sung. Đối với các nội dung kỹ thuật chưa được quy định, đề nghị nghiên cứu phương án sửa đổi, bổ sung Nghị định 165/2025 để bảo đảm tính kịp thời.</w:t>
      </w:r>
    </w:p>
    <w:p>
      <w:pPr>
        <w:spacing w:after="80" w:before="200" w:line="360"/>
        <w:ind w:firstLine="567"/>
        <w:jc w:val="left"/>
      </w:pPr>
      <w:r>
        <w:rPr>
          <w:rFonts w:ascii="Times New Roman" w:cs="Times New Roman" w:eastAsia="Times New Roman" w:hAnsi="Times New Roman"/>
          <w:b/>
          <w:bCs/>
          <w:sz w:val="28"/>
          <w:szCs w:val="28"/>
        </w:rPr>
        <w:t xml:space="preserve">3. Về chuyển giao dữ liệu xuyên biên giới (Chính sách 3)</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Cơ chế lưu trữ thực địa, danh sách trắng các quốc gia an toàn, tự đánh giá tác động (DPIA), tự chứng nhận và hậu kiểm đối với hoạt động chuyển dữ liệu ra nước ngoài.</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Hoạt động này hiện đã được điều chỉnh tại bốn văn bản:</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Điều 23 Luật Dữ liệu (chuyển dữ liệu cốt lõi, dữ liệu quan trọng xuyên biên giới);</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Điều 12 và khoản 11 Điều 17 Nghị định 165/2025 (quy định chi tiết Điều 23 Luật Dữ liệu);</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Điều 20 và Điều 22 Luật Bảo vệ dữ liệu cá nhân (chuyển dữ liệu cá nhân xuyên biên giới);</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Nghị định số 53/2022/NĐ-CP (lưu trữ dữ liệu tại Việt Nam).</w:t>
      </w:r>
    </w:p>
    <w:p>
      <w:pPr>
        <w:spacing w:after="0" w:before="12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Doanh nghiệp đang phải tuân thủ đồng thời nhiều thủ tục đánh giá tác động, báo cáo trên cùng một hoạt động chuyển dữ liệu. Việc bổ sung quy định tại Luật An ninh dữ liệu có nguy cơ làm gia tăng gánh nặng tuân thủ.</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Báo cáo rà soát bổ sung bảng đối chiếu chi tiết Chính sách 3 với các quy định nêu trên; xác định rõ nội dung mới mà Luật An ninh dữ liệu bổ sung; tránh chồng chéo và bảo đảm thuận lợi cho doanh nghiệp trong việc tuân thủ.</w:t>
      </w:r>
    </w:p>
    <w:p>
      <w:pPr>
        <w:spacing w:after="80" w:before="200" w:line="360"/>
        <w:ind w:firstLine="567"/>
        <w:jc w:val="left"/>
      </w:pPr>
      <w:r>
        <w:rPr>
          <w:rFonts w:ascii="Times New Roman" w:cs="Times New Roman" w:eastAsia="Times New Roman" w:hAnsi="Times New Roman"/>
          <w:b/>
          <w:bCs/>
          <w:sz w:val="28"/>
          <w:szCs w:val="28"/>
        </w:rPr>
        <w:t xml:space="preserve">4. Về quản lý trí tuệ nhân tạo và công nghệ mới (Chính sách 4)</w:t>
      </w:r>
    </w:p>
    <w:p>
      <w:pPr>
        <w:spacing w:after="60" w:before="160" w:line="360"/>
        <w:ind w:firstLine="567"/>
        <w:jc w:val="left"/>
      </w:pPr>
      <w:r>
        <w:rPr>
          <w:rFonts w:ascii="Times New Roman" w:cs="Times New Roman" w:eastAsia="Times New Roman" w:hAnsi="Times New Roman"/>
          <w:b/>
          <w:bCs/>
          <w:i/>
          <w:iCs/>
          <w:sz w:val="28"/>
          <w:szCs w:val="28"/>
        </w:rPr>
        <w:t xml:space="preserve">4.1. Phân loại hệ thống AI theo mức độ rủi ro</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Phân loại AI theo bốn cấp độ rủi ro: rủi ro không thể chấp nhận, rủi ro cao, rủi ro trung bình, rủi ro thấp; trong đó nghiêm cấm các hệ thống AI thuộc nhóm "rủi ro không thể chấp nhận".</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Điều 9 Luật Trí tuệ nhân tạo quy định ba mức rủi ro (cao, trung bình, thấp); chưa có nhóm AI bị cấm tuyệt đối.</w:t>
      </w:r>
    </w:p>
    <w:p>
      <w:pPr>
        <w:spacing w:after="0" w:before="0" w:line="360"/>
        <w:ind w:firstLine="567"/>
        <w:jc w:val="both"/>
      </w:pPr>
      <w:r>
        <w:rPr>
          <w:rFonts w:ascii="Times New Roman" w:cs="Times New Roman" w:eastAsia="Times New Roman" w:hAnsi="Times New Roman"/>
          <w:b/>
          <w:bCs/>
          <w:i w:val="false"/>
          <w:iCs w:val="false"/>
          <w:sz w:val="28"/>
          <w:szCs w:val="28"/>
        </w:rPr>
        <w:t xml:space="preserve">Đánh giá:</w:t>
      </w:r>
      <w:r>
        <w:rPr>
          <w:rFonts w:ascii="Times New Roman" w:cs="Times New Roman" w:eastAsia="Times New Roman" w:hAnsi="Times New Roman"/>
          <w:b w:val="false"/>
          <w:bCs w:val="false"/>
          <w:i w:val="false"/>
          <w:iCs w:val="false"/>
          <w:sz w:val="28"/>
          <w:szCs w:val="28"/>
        </w:rPr>
        <w:t xml:space="preserve"> Việc Hồ sơ đề xuất bổ sung nhóm "rủi ro không thể chấp nhận" - tương ứng với các hệ thống AI bị cấm tuyệt đối theo Đạo luật AI EU 2024 (như chấm điểm xã hội, thao túng nhận thức, nhận diện cảm xúc tại nơi làm việc...) - là cần thiết để xác lập "lằn ranh đỏ" mà Luật Trí tuệ nhân tạo Việt Nam hiện chưa quy định. Tuy nhiên, ba mức rủi ro còn lại đang trùng với Điều 9 Luật Trí tuệ nhân tạo.</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Giữ đề xuất bổ sung nhóm "rủi ro không thể chấp nhận"; quy định rõ tiêu chí xác định và danh mục các loại hình AI cụ thể thuộc nhóm này. Đối với ba mức còn lại, đề nghị mô tả thống nhất với Điều 9 Luật Trí tuệ nhân tạo để tránh hai khung phân loại song song.</w:t>
      </w:r>
    </w:p>
    <w:p>
      <w:pPr>
        <w:spacing w:after="60" w:before="160" w:line="360"/>
        <w:ind w:firstLine="567"/>
        <w:jc w:val="left"/>
      </w:pPr>
      <w:r>
        <w:rPr>
          <w:rFonts w:ascii="Times New Roman" w:cs="Times New Roman" w:eastAsia="Times New Roman" w:hAnsi="Times New Roman"/>
          <w:b/>
          <w:bCs/>
          <w:i/>
          <w:iCs/>
          <w:sz w:val="28"/>
          <w:szCs w:val="28"/>
        </w:rPr>
        <w:t xml:space="preserve">4.2. Công bố nguyên tắc vận hành thuật toán</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Tổ chức phát triển AI phải công bố nguyên tắc vận hành cốt lõi của thuật toán.</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Điều 11 Luật Trí tuệ nhân tạo đã quy định trách nhiệm minh bạch của nhà cung cấp thông qua công bố mục đích sử dụng, phạm vi áp dụng và cảnh báo rủi ro.</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Nghiên cứu thiết kế cơ chế công bố theo hướng tương thích với Điều 11 Luật Trí tuệ nhân tạo, phù hợp với đặc thù kỹ thuật của các mô hình AI thế hệ mới (số lượng tham số rất lớn, được cập nhật liên tục theo chu kỳ tuần/tháng).</w:t>
      </w:r>
    </w:p>
    <w:p>
      <w:pPr>
        <w:spacing w:after="80" w:before="200" w:line="360"/>
        <w:ind w:firstLine="567"/>
        <w:jc w:val="left"/>
      </w:pPr>
      <w:r>
        <w:rPr>
          <w:rFonts w:ascii="Times New Roman" w:cs="Times New Roman" w:eastAsia="Times New Roman" w:hAnsi="Times New Roman"/>
          <w:b/>
          <w:bCs/>
          <w:sz w:val="28"/>
          <w:szCs w:val="28"/>
        </w:rPr>
        <w:t xml:space="preserve">5. Về mô hình "Đơn vị quản trị an ninh dữ liệu quốc gia" (Chính sách 2)</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Tờ trình Mục V.2 đề xuất </w:t>
      </w:r>
      <w:r>
        <w:rPr>
          <w:rFonts w:ascii="Times New Roman" w:cs="Times New Roman" w:eastAsia="Times New Roman" w:hAnsi="Times New Roman"/>
          <w:b w:val="false"/>
          <w:bCs w:val="false"/>
          <w:i/>
          <w:iCs/>
          <w:sz w:val="28"/>
          <w:szCs w:val="28"/>
        </w:rPr>
        <w:t xml:space="preserve">"Điều phối tập trung: dữ liệu từ tất cả các Bộ, ngành, địa phương được đấu nối đồng bộ về một đầu mối giám sát an ninh duy nhất"</w:t>
      </w:r>
      <w:r>
        <w:rPr>
          <w:rFonts w:ascii="Times New Roman" w:cs="Times New Roman" w:eastAsia="Times New Roman" w:hAnsi="Times New Roman"/>
          <w:b w:val="false"/>
          <w:bCs w:val="false"/>
          <w:i w:val="false"/>
          <w:iCs w:val="false"/>
          <w:sz w:val="28"/>
          <w:szCs w:val="28"/>
        </w:rPr>
        <w:t xml:space="preserve">; Đơn vị quản trị an ninh dữ liệu quốc gia là đơn vị độc lập về nghiệp vụ, </w:t>
      </w:r>
      <w:r>
        <w:rPr>
          <w:rFonts w:ascii="Times New Roman" w:cs="Times New Roman" w:eastAsia="Times New Roman" w:hAnsi="Times New Roman"/>
          <w:b w:val="false"/>
          <w:bCs w:val="false"/>
          <w:i/>
          <w:iCs/>
          <w:sz w:val="28"/>
          <w:szCs w:val="28"/>
        </w:rPr>
        <w:t xml:space="preserve">"có quyền can thiệp, ngắt kết nối logic khi phát hiện rủi ro"</w:t>
      </w:r>
      <w:r>
        <w:rPr>
          <w:rFonts w:ascii="Times New Roman" w:cs="Times New Roman" w:eastAsia="Times New Roman" w:hAnsi="Times New Roman"/>
          <w:b w:val="false"/>
          <w:bCs w:val="false"/>
          <w:i w:val="false"/>
          <w:iCs w:val="false"/>
          <w:sz w:val="28"/>
          <w:szCs w:val="28"/>
        </w:rPr>
        <w:t xml:space="preserve">.</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w:t>
      </w:r>
    </w:p>
    <w:p>
      <w:pPr>
        <w:spacing w:after="0" w:before="0" w:line="360"/>
        <w:ind w:left="1134" w:hanging="283"/>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Khoản 4 Điều 27 Luật Dữ liệu thiết lập mô hình phối hợp giữa chủ quản dữ liệu và đơn vị chuyên trách thuộc Bộ Công an, Bộ Quốc phòng dựa trên cơ chế thông báo;</w:t>
      </w:r>
    </w:p>
    <w:p>
      <w:pPr>
        <w:spacing w:after="0" w:before="0" w:line="360"/>
        <w:ind w:left="1134" w:hanging="283"/>
        <w:jc w:val="both"/>
      </w:pPr>
      <w:r>
        <w:rPr>
          <w:rFonts w:ascii="Times New Roman" w:cs="Times New Roman" w:eastAsia="Times New Roman" w:hAnsi="Times New Roman"/>
          <w:b w:val="false"/>
          <w:bCs w:val="false"/>
          <w:i w:val="false"/>
          <w:iCs w:val="false"/>
          <w:sz w:val="28"/>
          <w:szCs w:val="28"/>
        </w:rPr>
        <w:t xml:space="preserve">- </w:t>
      </w:r>
      <w:r>
        <w:rPr>
          <w:rFonts w:ascii="Times New Roman" w:cs="Times New Roman" w:eastAsia="Times New Roman" w:hAnsi="Times New Roman"/>
          <w:b/>
          <w:bCs/>
          <w:i w:val="false"/>
          <w:iCs w:val="false"/>
          <w:sz w:val="28"/>
          <w:szCs w:val="28"/>
        </w:rPr>
        <w:t xml:space="preserve">Khoản 2 Điều 19 Nghị định 165/2025 đã giao Bộ Công an</w:t>
      </w:r>
      <w:r>
        <w:rPr>
          <w:rFonts w:ascii="Times New Roman" w:cs="Times New Roman" w:eastAsia="Times New Roman" w:hAnsi="Times New Roman"/>
          <w:b w:val="false"/>
          <w:bCs w:val="false"/>
          <w:i w:val="false"/>
          <w:iCs w:val="false"/>
          <w:sz w:val="28"/>
          <w:szCs w:val="28"/>
        </w:rPr>
        <w:t xml:space="preserve"> thực hiện giám sát bảo mật, cảnh báo sớm và quản lý khẩn cấp dữ liệu (trừ các dữ liệu thuộc phạm vi quản lý của Bộ Quốc phòng theo khoản 3 Điều 19).</w:t>
      </w:r>
    </w:p>
    <w:p>
      <w:pPr>
        <w:spacing w:after="0" w:before="12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Chức năng giám sát an ninh dữ liệu cấp quốc gia đã được giao cho Bộ Công an tại cấp Nghị định và đang được triển khai. Mô hình "tập trung dữ liệu của tất cả các Bộ, ngành, địa phương về một đầu mối duy nhất" mà Hồ sơ đề xuất khác biệt căn bản với mô hình giám sát rủi ro hiện hành; đồng thời chưa rõ tương quan với phân công, phân cấp quản lý nhà nước giữa các Bộ.</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Làm rõ chức năng, nhiệm vụ của Đơn vị quản trị an ninh dữ liệu quốc gia trong tương quan với cơ chế giám sát đã được thiết lập tại khoản 4 Điều 27 Luật Dữ liệu và khoản 2 Điều 19 Nghị định 165/2025; cân nhắc thiết kế đơn vị này theo hướng cơ quan ban hành tiêu chuẩn, kiểm tra việc tuân thủ và điều phối ứng phó sự cố toàn quốc, không nhất thiết là nơi tập trung lưu trữ và phân tích mọi luồng dữ liệu.</w:t>
      </w:r>
    </w:p>
    <w:p>
      <w:pPr>
        <w:spacing w:after="80" w:before="200" w:line="360"/>
        <w:ind w:firstLine="567"/>
        <w:jc w:val="left"/>
      </w:pPr>
      <w:r>
        <w:rPr>
          <w:rFonts w:ascii="Times New Roman" w:cs="Times New Roman" w:eastAsia="Times New Roman" w:hAnsi="Times New Roman"/>
          <w:b/>
          <w:bCs/>
          <w:sz w:val="28"/>
          <w:szCs w:val="28"/>
        </w:rPr>
        <w:t xml:space="preserve">6. Về hệ thống chứng chỉ an ninh dữ liệu (Chính sách 6)</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Thiết lập hệ thống chứng chỉ hành nghề an ninh dữ liệu tiêu chuẩn quốc tế nhưng có sự công nhận tương đương tại Việt Nam.</w:t>
      </w:r>
    </w:p>
    <w:p>
      <w:pPr>
        <w:spacing w:after="0" w:before="0" w:line="360"/>
        <w:ind w:firstLine="567"/>
        <w:jc w:val="both"/>
      </w:pPr>
      <w:r>
        <w:rPr>
          <w:rFonts w:ascii="Times New Roman" w:cs="Times New Roman" w:eastAsia="Times New Roman" w:hAnsi="Times New Roman"/>
          <w:b/>
          <w:bCs/>
          <w:i w:val="false"/>
          <w:iCs w:val="false"/>
          <w:sz w:val="28"/>
          <w:szCs w:val="28"/>
        </w:rPr>
        <w:t xml:space="preserve">Pháp luật hiện hành:</w:t>
      </w:r>
      <w:r>
        <w:rPr>
          <w:rFonts w:ascii="Times New Roman" w:cs="Times New Roman" w:eastAsia="Times New Roman" w:hAnsi="Times New Roman"/>
          <w:b w:val="false"/>
          <w:bCs w:val="false"/>
          <w:i w:val="false"/>
          <w:iCs w:val="false"/>
          <w:sz w:val="28"/>
          <w:szCs w:val="28"/>
        </w:rPr>
        <w:t xml:space="preserve"> Điều 34 Luật An ninh mạng đã quy định người trực tiếp quản trị hệ thống thông tin cấp độ 3, 4, 5 phải hoàn thành chương trình tập huấn và nhận chứng nhận; khoản 2 Điều 33 Luật Bảo vệ dữ liệu cá nhân quy định việc chỉ định bộ phận, nhân sự đủ điều kiện năng lực bảo vệ dữ liệu cá nhân.</w:t>
      </w:r>
    </w:p>
    <w:p>
      <w:pPr>
        <w:spacing w:after="0" w:before="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Việc bổ sung hệ thống chứng chỉ riêng có nguy cơ tạo nhiều khung chứng chỉ song song trên cùng đối tượng, làm gia tăng gánh nặng tuân thủ đối với cá nhân, tổ chức.</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Nghiên cứu tích hợp chứng chỉ an ninh dữ liệu vào khung chứng chỉ tại Điều 34 Luật An ninh mạng để bảo đảm tính thống nhất.</w:t>
      </w:r>
    </w:p>
    <w:p>
      <w:pPr>
        <w:spacing w:after="80" w:before="200" w:line="360"/>
        <w:ind w:firstLine="567"/>
        <w:jc w:val="left"/>
      </w:pPr>
      <w:r>
        <w:rPr>
          <w:rFonts w:ascii="Times New Roman" w:cs="Times New Roman" w:eastAsia="Times New Roman" w:hAnsi="Times New Roman"/>
          <w:b/>
          <w:bCs/>
          <w:sz w:val="28"/>
          <w:szCs w:val="28"/>
        </w:rPr>
        <w:t xml:space="preserve">7. Về yêu cầu mật mã đối với dữ liệu cốt lõi (Chính sách 5)</w:t>
      </w:r>
    </w:p>
    <w:p>
      <w:pPr>
        <w:spacing w:after="0" w:before="0" w:line="360"/>
        <w:ind w:firstLine="567"/>
        <w:jc w:val="both"/>
      </w:pPr>
      <w:r>
        <w:rPr>
          <w:rFonts w:ascii="Times New Roman" w:cs="Times New Roman" w:eastAsia="Times New Roman" w:hAnsi="Times New Roman"/>
          <w:b/>
          <w:bCs/>
          <w:i w:val="false"/>
          <w:iCs w:val="false"/>
          <w:sz w:val="28"/>
          <w:szCs w:val="28"/>
        </w:rPr>
        <w:t xml:space="preserve">Hồ sơ đề xuất:</w:t>
      </w:r>
      <w:r>
        <w:rPr>
          <w:rFonts w:ascii="Times New Roman" w:cs="Times New Roman" w:eastAsia="Times New Roman" w:hAnsi="Times New Roman"/>
          <w:b w:val="false"/>
          <w:bCs w:val="false"/>
          <w:i w:val="false"/>
          <w:iCs w:val="false"/>
          <w:sz w:val="28"/>
          <w:szCs w:val="28"/>
        </w:rPr>
        <w:t xml:space="preserve"> Tờ trình Chính sách 5 đặt yêu cầu </w:t>
      </w:r>
      <w:r>
        <w:rPr>
          <w:rFonts w:ascii="Times New Roman" w:cs="Times New Roman" w:eastAsia="Times New Roman" w:hAnsi="Times New Roman"/>
          <w:b w:val="false"/>
          <w:bCs w:val="false"/>
          <w:i/>
          <w:iCs/>
          <w:sz w:val="28"/>
          <w:szCs w:val="28"/>
        </w:rPr>
        <w:t xml:space="preserve">"sử dụng mật mã nội địa"</w:t>
      </w:r>
      <w:r>
        <w:rPr>
          <w:rFonts w:ascii="Times New Roman" w:cs="Times New Roman" w:eastAsia="Times New Roman" w:hAnsi="Times New Roman"/>
          <w:b w:val="false"/>
          <w:bCs w:val="false"/>
          <w:i w:val="false"/>
          <w:iCs w:val="false"/>
          <w:sz w:val="28"/>
          <w:szCs w:val="28"/>
        </w:rPr>
        <w:t xml:space="preserve"> và </w:t>
      </w:r>
      <w:r>
        <w:rPr>
          <w:rFonts w:ascii="Times New Roman" w:cs="Times New Roman" w:eastAsia="Times New Roman" w:hAnsi="Times New Roman"/>
          <w:b w:val="false"/>
          <w:bCs w:val="false"/>
          <w:i/>
          <w:iCs/>
          <w:sz w:val="28"/>
          <w:szCs w:val="28"/>
        </w:rPr>
        <w:t xml:space="preserve">"mã hóa hậu lượng tử"</w:t>
      </w:r>
      <w:r>
        <w:rPr>
          <w:rFonts w:ascii="Times New Roman" w:cs="Times New Roman" w:eastAsia="Times New Roman" w:hAnsi="Times New Roman"/>
          <w:b w:val="false"/>
          <w:bCs w:val="false"/>
          <w:i w:val="false"/>
          <w:iCs w:val="false"/>
          <w:sz w:val="28"/>
          <w:szCs w:val="28"/>
        </w:rPr>
        <w:t xml:space="preserve"> cho dữ liệu cốt lõi; cụm từ </w:t>
      </w:r>
      <w:r>
        <w:rPr>
          <w:rFonts w:ascii="Times New Roman" w:cs="Times New Roman" w:eastAsia="Times New Roman" w:hAnsi="Times New Roman"/>
          <w:b w:val="false"/>
          <w:bCs w:val="false"/>
          <w:i/>
          <w:iCs/>
          <w:sz w:val="28"/>
          <w:szCs w:val="28"/>
        </w:rPr>
        <w:t xml:space="preserve">"bảo vệ vĩnh viễn"</w:t>
      </w:r>
      <w:r>
        <w:rPr>
          <w:rFonts w:ascii="Times New Roman" w:cs="Times New Roman" w:eastAsia="Times New Roman" w:hAnsi="Times New Roman"/>
          <w:b w:val="false"/>
          <w:bCs w:val="false"/>
          <w:i w:val="false"/>
          <w:iCs w:val="false"/>
          <w:sz w:val="28"/>
          <w:szCs w:val="28"/>
        </w:rPr>
        <w:t xml:space="preserve">, </w:t>
      </w:r>
      <w:r>
        <w:rPr>
          <w:rFonts w:ascii="Times New Roman" w:cs="Times New Roman" w:eastAsia="Times New Roman" w:hAnsi="Times New Roman"/>
          <w:b w:val="false"/>
          <w:bCs w:val="false"/>
          <w:i/>
          <w:iCs/>
          <w:sz w:val="28"/>
          <w:szCs w:val="28"/>
        </w:rPr>
        <w:t xml:space="preserve">"di sản dữ liệu quốc gia có giá trị vĩnh cửu"</w:t>
      </w:r>
      <w:r>
        <w:rPr>
          <w:rFonts w:ascii="Times New Roman" w:cs="Times New Roman" w:eastAsia="Times New Roman" w:hAnsi="Times New Roman"/>
          <w:b w:val="false"/>
          <w:bCs w:val="false"/>
          <w:i w:val="false"/>
          <w:iCs w:val="false"/>
          <w:sz w:val="28"/>
          <w:szCs w:val="28"/>
        </w:rPr>
        <w:t xml:space="preserve"> xuất hiện tại Tờ trình (Mục V.1, V.2) và Báo cáo thực trạng.</w:t>
      </w:r>
    </w:p>
    <w:p>
      <w:pPr>
        <w:spacing w:after="0" w:before="0" w:line="360"/>
        <w:ind w:firstLine="567"/>
        <w:jc w:val="both"/>
      </w:pPr>
      <w:r>
        <w:rPr>
          <w:rFonts w:ascii="Times New Roman" w:cs="Times New Roman" w:eastAsia="Times New Roman" w:hAnsi="Times New Roman"/>
          <w:b/>
          <w:bCs/>
          <w:i w:val="false"/>
          <w:iCs w:val="false"/>
          <w:sz w:val="28"/>
          <w:szCs w:val="28"/>
        </w:rPr>
        <w:t xml:space="preserve">Cơ sở khoa học - kỹ thuật:</w:t>
      </w:r>
      <w:r>
        <w:rPr>
          <w:rFonts w:ascii="Times New Roman" w:cs="Times New Roman" w:eastAsia="Times New Roman" w:hAnsi="Times New Roman"/>
          <w:b w:val="false"/>
          <w:bCs w:val="false"/>
          <w:i w:val="false"/>
          <w:iCs w:val="false"/>
          <w:sz w:val="28"/>
          <w:szCs w:val="28"/>
        </w:rPr>
        <w:t xml:space="preserve"> Hiện Việt Nam chưa có chuẩn mật mã hậu lượng tử nội địa được công bố. Các chuẩn mật mã hậu lượng tử quốc tế hiện hành (FIPS 203, 204, 205 do Viện Tiêu chuẩn và Công nghệ Hoa Kỳ ban hành năm 2024) cũng có chu kỳ rà soát, cập nhật theo tiến bộ khoa học, không phải là cơ chế bảo vệ "vĩnh viễn".</w:t>
      </w:r>
    </w:p>
    <w:p>
      <w:pPr>
        <w:spacing w:after="0" w:before="0" w:line="360"/>
        <w:ind w:firstLine="567"/>
        <w:jc w:val="both"/>
      </w:pPr>
      <w:r>
        <w:rPr>
          <w:rFonts w:ascii="Times New Roman" w:cs="Times New Roman" w:eastAsia="Times New Roman" w:hAnsi="Times New Roman"/>
          <w:b/>
          <w:bCs/>
          <w:i w:val="false"/>
          <w:iCs w:val="false"/>
          <w:sz w:val="28"/>
          <w:szCs w:val="28"/>
        </w:rPr>
        <w:t xml:space="preserve">Vấn đề:</w:t>
      </w:r>
      <w:r>
        <w:rPr>
          <w:rFonts w:ascii="Times New Roman" w:cs="Times New Roman" w:eastAsia="Times New Roman" w:hAnsi="Times New Roman"/>
          <w:b w:val="false"/>
          <w:bCs w:val="false"/>
          <w:i w:val="false"/>
          <w:iCs w:val="false"/>
          <w:sz w:val="28"/>
          <w:szCs w:val="28"/>
        </w:rPr>
        <w:t xml:space="preserve"> Khái niệm "vĩnh viễn", "vĩnh cửu" trong văn bản pháp luật sẽ tạo kỳ vọng không thực hiện được. Yêu cầu sử dụng mật mã nội địa cho dữ liệu cốt lõi trong khi chuẩn nội địa chưa hình thành sẽ ảnh hưởng đến tính khả thi của chính sách.</w:t>
      </w:r>
    </w:p>
    <w:p>
      <w:pPr>
        <w:spacing w:after="0" w:before="0" w:line="360"/>
        <w:ind w:firstLine="567"/>
        <w:jc w:val="both"/>
      </w:pPr>
      <w:r>
        <w:rPr>
          <w:rFonts w:ascii="Times New Roman" w:cs="Times New Roman" w:eastAsia="Times New Roman" w:hAnsi="Times New Roman"/>
          <w:b/>
          <w:bCs/>
          <w:i w:val="false"/>
          <w:iCs w:val="false"/>
          <w:sz w:val="28"/>
          <w:szCs w:val="28"/>
        </w:rPr>
        <w:t xml:space="preserve">Kiến nghị:</w:t>
      </w:r>
      <w:r>
        <w:rPr>
          <w:rFonts w:ascii="Times New Roman" w:cs="Times New Roman" w:eastAsia="Times New Roman" w:hAnsi="Times New Roman"/>
          <w:b w:val="false"/>
          <w:bCs w:val="false"/>
          <w:i w:val="false"/>
          <w:iCs w:val="false"/>
          <w:sz w:val="28"/>
          <w:szCs w:val="28"/>
        </w:rPr>
        <w:t xml:space="preserve"> Thay thuật ngữ </w:t>
      </w:r>
      <w:r>
        <w:rPr>
          <w:rFonts w:ascii="Times New Roman" w:cs="Times New Roman" w:eastAsia="Times New Roman" w:hAnsi="Times New Roman"/>
          <w:b w:val="false"/>
          <w:bCs w:val="false"/>
          <w:i/>
          <w:iCs/>
          <w:sz w:val="28"/>
          <w:szCs w:val="28"/>
        </w:rPr>
        <w:t xml:space="preserve">"bảo vệ vĩnh viễn"</w:t>
      </w:r>
      <w:r>
        <w:rPr>
          <w:rFonts w:ascii="Times New Roman" w:cs="Times New Roman" w:eastAsia="Times New Roman" w:hAnsi="Times New Roman"/>
          <w:b w:val="false"/>
          <w:bCs w:val="false"/>
          <w:i w:val="false"/>
          <w:iCs w:val="false"/>
          <w:sz w:val="28"/>
          <w:szCs w:val="28"/>
        </w:rPr>
        <w:t xml:space="preserve"> bằng </w:t>
      </w:r>
      <w:r>
        <w:rPr>
          <w:rFonts w:ascii="Times New Roman" w:cs="Times New Roman" w:eastAsia="Times New Roman" w:hAnsi="Times New Roman"/>
          <w:b w:val="false"/>
          <w:bCs w:val="false"/>
          <w:i/>
          <w:iCs/>
          <w:sz w:val="28"/>
          <w:szCs w:val="28"/>
        </w:rPr>
        <w:t xml:space="preserve">"bảo vệ dài hạn theo vòng đời mật mã, có cơ chế nâng cấp định kỳ"</w:t>
      </w:r>
      <w:r>
        <w:rPr>
          <w:rFonts w:ascii="Times New Roman" w:cs="Times New Roman" w:eastAsia="Times New Roman" w:hAnsi="Times New Roman"/>
          <w:b w:val="false"/>
          <w:bCs w:val="false"/>
          <w:i w:val="false"/>
          <w:iCs w:val="false"/>
          <w:sz w:val="28"/>
          <w:szCs w:val="28"/>
        </w:rPr>
        <w:t xml:space="preserve">; nghiên cứu xây dựng lộ trình phát triển mật mã hậu lượng tử quốc gia có mốc thời gian cụ thể trước khi luật hóa yêu cầu bắt buộc tại Chính sách 5.</w:t>
      </w:r>
    </w:p>
    <w:p>
      <w:pPr>
        <w:spacing w:after="120" w:before="240" w:line="360"/>
        <w:jc w:val="left"/>
      </w:pPr>
      <w:r>
        <w:rPr>
          <w:rFonts w:ascii="Times New Roman" w:cs="Times New Roman" w:eastAsia="Times New Roman" w:hAnsi="Times New Roman"/>
          <w:b/>
          <w:bCs/>
          <w:sz w:val="28"/>
          <w:szCs w:val="28"/>
        </w:rPr>
        <w:t xml:space="preserve">IV. Định hướng đề xuất</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Trên cơ sở các nội dung góp ý nêu trên, Tổ 5 đề xuất cuộc họp tập trung trao đổi với A05 ba vấn đề trọng tâm:</w:t>
      </w:r>
    </w:p>
    <w:p>
      <w:pPr>
        <w:spacing w:after="0" w:before="0" w:line="360"/>
        <w:ind w:firstLine="567"/>
        <w:jc w:val="both"/>
      </w:pPr>
      <w:r>
        <w:rPr>
          <w:rFonts w:ascii="Times New Roman" w:cs="Times New Roman" w:eastAsia="Times New Roman" w:hAnsi="Times New Roman"/>
          <w:b/>
          <w:bCs/>
          <w:i w:val="false"/>
          <w:iCs w:val="false"/>
          <w:sz w:val="28"/>
          <w:szCs w:val="28"/>
        </w:rPr>
        <w:t xml:space="preserve">Một là</w:t>
      </w:r>
      <w:r>
        <w:rPr>
          <w:rFonts w:ascii="Times New Roman" w:cs="Times New Roman" w:eastAsia="Times New Roman" w:hAnsi="Times New Roman"/>
          <w:b w:val="false"/>
          <w:bCs w:val="false"/>
          <w:i w:val="false"/>
          <w:iCs w:val="false"/>
          <w:sz w:val="28"/>
          <w:szCs w:val="28"/>
        </w:rPr>
        <w:t xml:space="preserve">, đề nghị A05 chỉ rõ những nội dung của Hồ sơ thuộc về </w:t>
      </w:r>
      <w:r>
        <w:rPr>
          <w:rFonts w:ascii="Times New Roman" w:cs="Times New Roman" w:eastAsia="Times New Roman" w:hAnsi="Times New Roman"/>
          <w:b/>
          <w:bCs/>
          <w:i w:val="false"/>
          <w:iCs w:val="false"/>
          <w:sz w:val="28"/>
          <w:szCs w:val="28"/>
        </w:rPr>
        <w:t xml:space="preserve">khoảng trống pháp lý</w:t>
      </w:r>
      <w:r>
        <w:rPr>
          <w:rFonts w:ascii="Times New Roman" w:cs="Times New Roman" w:eastAsia="Times New Roman" w:hAnsi="Times New Roman"/>
          <w:b w:val="false"/>
          <w:bCs w:val="false"/>
          <w:i w:val="false"/>
          <w:iCs w:val="false"/>
          <w:sz w:val="28"/>
          <w:szCs w:val="28"/>
        </w:rPr>
        <w:t xml:space="preserve"> mà các văn bản hiện hành (Luật Dữ liệu 2024, Nghị định 165/2025, Luật Trí tuệ nhân tạo 2025, Luật Bảo vệ dữ liệu cá nhân 2025, Luật An ninh mạng 2025) chưa điều chỉnh; tách bạch với những nội dung đang trùng phạm vi điều chỉnh.</w:t>
      </w:r>
    </w:p>
    <w:p>
      <w:pPr>
        <w:spacing w:after="0" w:before="0" w:line="360"/>
        <w:ind w:firstLine="567"/>
        <w:jc w:val="both"/>
      </w:pPr>
      <w:r>
        <w:rPr>
          <w:rFonts w:ascii="Times New Roman" w:cs="Times New Roman" w:eastAsia="Times New Roman" w:hAnsi="Times New Roman"/>
          <w:b/>
          <w:bCs/>
          <w:i w:val="false"/>
          <w:iCs w:val="false"/>
          <w:sz w:val="28"/>
          <w:szCs w:val="28"/>
        </w:rPr>
        <w:t xml:space="preserve">Hai là</w:t>
      </w:r>
      <w:r>
        <w:rPr>
          <w:rFonts w:ascii="Times New Roman" w:cs="Times New Roman" w:eastAsia="Times New Roman" w:hAnsi="Times New Roman"/>
          <w:b w:val="false"/>
          <w:bCs w:val="false"/>
          <w:i w:val="false"/>
          <w:iCs w:val="false"/>
          <w:sz w:val="28"/>
          <w:szCs w:val="28"/>
        </w:rPr>
        <w:t xml:space="preserve">, đối với những nội dung thuộc phạm vi quy định chi tiết (kỹ thuật, quy trình), đề nghị nghiên cứu phương án sửa đổi, bổ sung Nghị định 165/2025 hoặc các nghị định hướng dẫn các luật hiện hành thay vì luật hóa lại tại Luật An ninh dữ liệu.</w:t>
      </w:r>
    </w:p>
    <w:p>
      <w:pPr>
        <w:spacing w:after="0" w:before="0" w:line="360"/>
        <w:ind w:firstLine="567"/>
        <w:jc w:val="both"/>
      </w:pPr>
      <w:r>
        <w:rPr>
          <w:rFonts w:ascii="Times New Roman" w:cs="Times New Roman" w:eastAsia="Times New Roman" w:hAnsi="Times New Roman"/>
          <w:b/>
          <w:bCs/>
          <w:i w:val="false"/>
          <w:iCs w:val="false"/>
          <w:sz w:val="28"/>
          <w:szCs w:val="28"/>
        </w:rPr>
        <w:t xml:space="preserve">Ba là</w:t>
      </w:r>
      <w:r>
        <w:rPr>
          <w:rFonts w:ascii="Times New Roman" w:cs="Times New Roman" w:eastAsia="Times New Roman" w:hAnsi="Times New Roman"/>
          <w:b w:val="false"/>
          <w:bCs w:val="false"/>
          <w:i w:val="false"/>
          <w:iCs w:val="false"/>
          <w:sz w:val="28"/>
          <w:szCs w:val="28"/>
        </w:rPr>
        <w:t xml:space="preserve">, đối với mô hình Đơn vị quản trị an ninh dữ liệu quốc gia, đề nghị làm rõ tương quan với chức năng đã giao Bộ Công an tại khoản 2 Điều 19 Nghị định 165/2025; bảo đảm phù hợp với phân công, phân cấp quản lý nhà nước hiện hành.</w:t>
      </w:r>
    </w:p>
    <w:p>
      <w:pPr>
        <w:spacing w:line="360"/>
      </w:pPr>
      <w:r>
        <w:rPr>
          <w:rFonts w:ascii="Times New Roman" w:cs="Times New Roman" w:eastAsia="Times New Roman" w:hAnsi="Times New Roman"/>
          <w:sz w:val="28"/>
          <w:szCs w:val="28"/>
        </w:rPr>
        <w:t xml:space="preserve"> </w:t>
      </w:r>
    </w:p>
    <w:p>
      <w:pPr>
        <w:pBdr>
          <w:top w:val="single" w:color="808080" w:sz="6" w:space="6"/>
        </w:pBdr>
        <w:spacing w:after="120" w:before="240" w:line="360"/>
        <w:jc w:val="left"/>
      </w:pPr>
      <w:r>
        <w:rPr>
          <w:rFonts w:ascii="Times New Roman" w:cs="Times New Roman" w:eastAsia="Times New Roman" w:hAnsi="Times New Roman"/>
          <w:b/>
          <w:bCs/>
          <w:i/>
          <w:iCs/>
          <w:sz w:val="28"/>
          <w:szCs w:val="28"/>
        </w:rPr>
        <w:t xml:space="preserve">Lưu ý nội bộ phục vụ trao đổi:</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 </w:t>
      </w:r>
      <w:r>
        <w:rPr>
          <w:rFonts w:ascii="Times New Roman" w:cs="Times New Roman" w:eastAsia="Times New Roman" w:hAnsi="Times New Roman"/>
          <w:b/>
          <w:bCs/>
          <w:i w:val="false"/>
          <w:iCs w:val="false"/>
          <w:sz w:val="28"/>
          <w:szCs w:val="28"/>
        </w:rPr>
        <w:t xml:space="preserve">Điểm mạnh nhất để bảo vệ quan điểm của Tổ 5: </w:t>
      </w:r>
      <w:r>
        <w:rPr>
          <w:rFonts w:ascii="Times New Roman" w:cs="Times New Roman" w:eastAsia="Times New Roman" w:hAnsi="Times New Roman"/>
          <w:b w:val="false"/>
          <w:bCs w:val="false"/>
          <w:i w:val="false"/>
          <w:iCs w:val="false"/>
          <w:sz w:val="28"/>
          <w:szCs w:val="28"/>
        </w:rPr>
        <w:t xml:space="preserve">Nghị định 165/2025 mới có hiệu lực 01/7/2025, đã giao Bộ Công an chức năng giám sát an ninh dữ liệu quốc gia (khoản 2 Điều 19). Đây là cơ sở pháp lý vững nhất khi trao đổi về việc lập "Đơn vị quản trị an ninh dữ liệu quốc gia" mới.</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 </w:t>
      </w:r>
      <w:r>
        <w:rPr>
          <w:rFonts w:ascii="Times New Roman" w:cs="Times New Roman" w:eastAsia="Times New Roman" w:hAnsi="Times New Roman"/>
          <w:b/>
          <w:bCs/>
          <w:i w:val="false"/>
          <w:iCs w:val="false"/>
          <w:sz w:val="28"/>
          <w:szCs w:val="28"/>
        </w:rPr>
        <w:t xml:space="preserve">Cách phát biểu thận trọng nếu A05 phản ứng: </w:t>
      </w:r>
      <w:r>
        <w:rPr>
          <w:rFonts w:ascii="Times New Roman" w:cs="Times New Roman" w:eastAsia="Times New Roman" w:hAnsi="Times New Roman"/>
          <w:b w:val="false"/>
          <w:bCs w:val="false"/>
          <w:i w:val="false"/>
          <w:iCs w:val="false"/>
          <w:sz w:val="28"/>
          <w:szCs w:val="28"/>
        </w:rPr>
        <w:t xml:space="preserve">Hồ sơ có thể đã được xây dựng trước thời điểm Nghị định 165/2025 và Luật Trí tuệ nhân tạo có hiệu lực, do đó chưa kịp cập nhật. Tổ 5 góp ý trên tinh thần xây dựng để Hồ sơ đồng bộ với hệ thống pháp luật mới ban hành.</w:t>
      </w:r>
    </w:p>
    <w:p>
      <w:pPr>
        <w:spacing w:after="0" w:before="0" w:line="360"/>
        <w:ind w:firstLine="567"/>
        <w:jc w:val="both"/>
      </w:pPr>
      <w:r>
        <w:rPr>
          <w:rFonts w:ascii="Times New Roman" w:cs="Times New Roman" w:eastAsia="Times New Roman" w:hAnsi="Times New Roman"/>
          <w:b w:val="false"/>
          <w:bCs w:val="false"/>
          <w:i w:val="false"/>
          <w:iCs w:val="false"/>
          <w:sz w:val="28"/>
          <w:szCs w:val="28"/>
        </w:rPr>
        <w:t xml:space="preserve">- </w:t>
      </w:r>
      <w:r>
        <w:rPr>
          <w:rFonts w:ascii="Times New Roman" w:cs="Times New Roman" w:eastAsia="Times New Roman" w:hAnsi="Times New Roman"/>
          <w:b/>
          <w:bCs/>
          <w:i w:val="false"/>
          <w:iCs w:val="false"/>
          <w:sz w:val="28"/>
          <w:szCs w:val="28"/>
        </w:rPr>
        <w:t xml:space="preserve">Câu hỏi có thể đặt ra: </w:t>
      </w:r>
      <w:r>
        <w:rPr>
          <w:rFonts w:ascii="Times New Roman" w:cs="Times New Roman" w:eastAsia="Times New Roman" w:hAnsi="Times New Roman"/>
          <w:b w:val="false"/>
          <w:bCs w:val="false"/>
          <w:i w:val="false"/>
          <w:iCs w:val="false"/>
          <w:sz w:val="28"/>
          <w:szCs w:val="28"/>
        </w:rPr>
        <w:t xml:space="preserve">"Vậy có cần làm Luật An ninh dữ liệu không?" → Tổ 5 không phản đối làm Luật, nhưng phải xác định rõ phạm vi mới (khoảng trống pháp lý) trước khi luật hóa, tránh tình trạng năm văn bản cùng điều chỉnh một quan hệ.</w:t>
      </w:r>
    </w:p>
    <w:sectPr>
      <w:pgSz w:w="11906" w:h="16838" w:orient="portrait"/>
      <w:pgMar w:top="1440" w:right="1134" w:bottom="1440" w:left="198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2026-05-06T12:23:16.633Z</dcterms:created>
  <dcterms:modified xsi:type="dcterms:W3CDTF">2026-05-06T12:23:16.634Z</dcterms:modified>
</cp:coreProperties>
</file>

<file path=docProps/custom.xml><?xml version="1.0" encoding="utf-8"?>
<Properties xmlns="http://schemas.openxmlformats.org/officeDocument/2006/custom-properties" xmlns:vt="http://schemas.openxmlformats.org/officeDocument/2006/docPropsVTypes"/>
</file>