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00" w:after="20"/>
        <w:jc w:val="center"/>
        <w:widowControl w:val="1"/>
      </w:pPr>
      <w:r>
        <w:rPr>
          <w:rFonts w:ascii="Times New Roman" w:hAnsi="Times New Roman" w:eastAsia="Times New Roman"/>
          <w:b/>
          <w:i w:val="0"/>
          <w:sz w:val="30"/>
        </w:rPr>
        <w:t>TÀI LIỆU HỌP</w:t>
      </w:r>
    </w:p>
    <w:p>
      <w:pPr>
        <w:spacing w:after="20" w:line="276" w:lineRule="auto"/>
        <w:jc w:val="center"/>
        <w:widowControl w:val="1"/>
      </w:pPr>
      <w:r>
        <w:rPr>
          <w:rFonts w:ascii="Times New Roman" w:hAnsi="Times New Roman" w:eastAsia="Times New Roman"/>
          <w:b/>
          <w:i w:val="0"/>
          <w:sz w:val="28"/>
        </w:rPr>
        <w:t>Về quản lý không gian mạng và định danh ẩn danh tài khoản mạng xã hội</w:t>
      </w:r>
    </w:p>
    <w:p>
      <w:pPr>
        <w:spacing w:after="80"/>
        <w:jc w:val="center"/>
        <w:widowControl w:val="1"/>
      </w:pPr>
      <w:r>
        <w:rPr>
          <w:rFonts w:ascii="Times New Roman" w:hAnsi="Times New Roman" w:eastAsia="Times New Roman"/>
          <w:b w:val="0"/>
          <w:i/>
          <w:sz w:val="28"/>
        </w:rPr>
        <w:t>Hà Nội, tháng 8 năm 2026</w:t>
      </w:r>
    </w:p>
    <w:p>
      <w:pPr>
        <w:spacing w:line="276" w:lineRule="auto" w:before="200" w:after="80"/>
        <w:ind w:firstLine="0"/>
        <w:jc w:val="left"/>
      </w:pPr>
      <w:r>
        <w:rPr>
          <w:rFonts w:ascii="Times New Roman" w:hAnsi="Times New Roman" w:eastAsia="Times New Roman"/>
          <w:b/>
          <w:i w:val="0"/>
          <w:sz w:val="28"/>
        </w:rPr>
        <w:t>I. THỰC TRẠNG</w:t>
      </w:r>
    </w:p>
    <w:p>
      <w:pPr>
        <w:spacing w:line="276" w:lineRule="auto" w:before="120" w:after="60"/>
        <w:ind w:firstLine="0"/>
        <w:jc w:val="left"/>
      </w:pPr>
      <w:r>
        <w:rPr>
          <w:rFonts w:ascii="Times New Roman" w:hAnsi="Times New Roman" w:eastAsia="Times New Roman"/>
          <w:b/>
          <w:i w:val="0"/>
          <w:sz w:val="28"/>
        </w:rPr>
        <w:t>1. Về pháp lý</w:t>
      </w:r>
    </w:p>
    <w:p>
      <w:pPr>
        <w:spacing w:line="360" w:lineRule="auto" w:before="0" w:after="40"/>
        <w:ind w:firstLine="720"/>
        <w:jc w:val="both"/>
      </w:pPr>
      <w:r>
        <w:rPr>
          <w:rFonts w:ascii="Times New Roman" w:hAnsi="Times New Roman" w:eastAsia="Times New Roman"/>
          <w:b w:val="0"/>
          <w:i w:val="0"/>
          <w:sz w:val="28"/>
        </w:rPr>
        <w:t xml:space="preserve">- Pháp luật về thông tin trên mạng đã có khung điều chỉnh đối với tài khoản và nội dung: </w:t>
      </w:r>
      <w:r>
        <w:rPr>
          <w:rFonts w:ascii="Times New Roman" w:hAnsi="Times New Roman" w:eastAsia="Times New Roman"/>
          <w:b w:val="0"/>
          <w:i/>
          <w:sz w:val="28"/>
        </w:rPr>
        <w:t>Nghị định số 147/2024/NĐ-CP</w:t>
      </w:r>
      <w:r>
        <w:rPr>
          <w:rFonts w:ascii="Times New Roman" w:hAnsi="Times New Roman" w:eastAsia="Times New Roman"/>
          <w:b w:val="0"/>
          <w:i w:val="0"/>
          <w:sz w:val="28"/>
        </w:rPr>
        <w:t xml:space="preserve"> quy định nghĩa vụ xác thực tài khoản mạng xã hội bằng số điện thoại di động tại Việt Nam, trường hợp người sử dụng không có số điện thoại di động tại Việt Nam thì xác thực bằng số định danh cá nhân (điểm e khoản 3 Điều 23, điểm b khoản 3 Điều 27); quy định nghĩa vụ quản lý nội dung, gỡ bỏ thông tin vi phạm, khóa tài khoản theo yêu cầu của cơ quan có thẩm quyền; </w:t>
      </w:r>
      <w:r>
        <w:rPr>
          <w:rFonts w:ascii="Times New Roman" w:hAnsi="Times New Roman" w:eastAsia="Times New Roman"/>
          <w:b w:val="0"/>
          <w:i/>
          <w:sz w:val="28"/>
        </w:rPr>
        <w:t>Nghị định số 174/2026/NĐ-CP</w:t>
      </w:r>
      <w:r>
        <w:rPr>
          <w:rFonts w:ascii="Times New Roman" w:hAnsi="Times New Roman" w:eastAsia="Times New Roman"/>
          <w:b w:val="0"/>
          <w:i w:val="0"/>
          <w:sz w:val="28"/>
        </w:rPr>
        <w:t xml:space="preserve"> quy định xử phạt vi phạm hành chính đối với người sử dụng và doanh nghiệp không thực hiện nghĩa vụ.</w:t>
      </w:r>
    </w:p>
    <w:p>
      <w:pPr>
        <w:spacing w:line="360" w:lineRule="auto" w:before="0" w:after="40"/>
        <w:ind w:firstLine="720"/>
        <w:jc w:val="both"/>
      </w:pPr>
      <w:r>
        <w:rPr>
          <w:rFonts w:ascii="Times New Roman" w:hAnsi="Times New Roman" w:eastAsia="Times New Roman"/>
          <w:b w:val="0"/>
          <w:i w:val="0"/>
          <w:sz w:val="28"/>
        </w:rPr>
        <w:t xml:space="preserve">- Pháp luật về bảo vệ dữ liệu cá nhân đặt giới hạn đối với việc nền tảng tự xác thực người dùng: khoản 2 Điều 29 </w:t>
      </w:r>
      <w:r>
        <w:rPr>
          <w:rFonts w:ascii="Times New Roman" w:hAnsi="Times New Roman" w:eastAsia="Times New Roman"/>
          <w:b w:val="0"/>
          <w:i/>
          <w:sz w:val="28"/>
        </w:rPr>
        <w:t>Luật Bảo vệ dữ liệu cá nhân số 91/2025/QH15</w:t>
      </w:r>
      <w:r>
        <w:rPr>
          <w:rFonts w:ascii="Times New Roman" w:hAnsi="Times New Roman" w:eastAsia="Times New Roman"/>
          <w:b w:val="0"/>
          <w:i w:val="0"/>
          <w:sz w:val="28"/>
        </w:rPr>
        <w:t xml:space="preserve"> không cho phép yêu cầu hình ảnh, video chứa giấy tờ tùy thân làm yếu tố xác thực; nền tảng không được tự thu thập, lưu trữ dữ liệu căn cước của người sử dụng.</w:t>
      </w:r>
    </w:p>
    <w:p>
      <w:pPr>
        <w:spacing w:line="360" w:lineRule="auto" w:before="0" w:after="40"/>
        <w:ind w:firstLine="720"/>
        <w:jc w:val="both"/>
      </w:pPr>
      <w:r>
        <w:rPr>
          <w:rFonts w:ascii="Times New Roman" w:hAnsi="Times New Roman" w:eastAsia="Times New Roman"/>
          <w:b w:val="0"/>
          <w:i w:val="0"/>
          <w:sz w:val="28"/>
        </w:rPr>
        <w:t xml:space="preserve">- Cơ sở pháp lý cho việc gắn tài khoản với danh tính công dân đang trong quá trình hoàn thiện: dự thảo Nghị định sửa đổi </w:t>
      </w:r>
      <w:r>
        <w:rPr>
          <w:rFonts w:ascii="Times New Roman" w:hAnsi="Times New Roman" w:eastAsia="Times New Roman"/>
          <w:b w:val="0"/>
          <w:i/>
          <w:sz w:val="28"/>
        </w:rPr>
        <w:t>Nghị định số 69/2024/NĐ-CP</w:t>
      </w:r>
      <w:r>
        <w:rPr>
          <w:rFonts w:ascii="Times New Roman" w:hAnsi="Times New Roman" w:eastAsia="Times New Roman"/>
          <w:b w:val="0"/>
          <w:i w:val="0"/>
          <w:sz w:val="28"/>
        </w:rPr>
        <w:t xml:space="preserve"> (đang trình) quy định tài khoản giao dịch điện tử trên các nhóm nền tảng tại Việt Nam phải liên kết với tài khoản định danh điện tử bằng mã định danh ẩn danh; dự thảo </w:t>
      </w:r>
      <w:r>
        <w:rPr>
          <w:rFonts w:ascii="Times New Roman" w:hAnsi="Times New Roman" w:eastAsia="Times New Roman"/>
          <w:b w:val="0"/>
          <w:i/>
          <w:sz w:val="28"/>
        </w:rPr>
        <w:t>Luật Định danh và xác thực điện tử</w:t>
      </w:r>
      <w:r>
        <w:rPr>
          <w:rFonts w:ascii="Times New Roman" w:hAnsi="Times New Roman" w:eastAsia="Times New Roman"/>
          <w:b w:val="0"/>
          <w:i w:val="0"/>
          <w:sz w:val="28"/>
        </w:rPr>
        <w:t xml:space="preserve"> đang xây dựng quy định về định danh ứng dụng, phần mềm, dịch vụ số (Điều 7, Điều 20). Cả hai văn bản đều chưa có hiệu lực.</w:t>
      </w:r>
    </w:p>
    <w:p>
      <w:pPr>
        <w:spacing w:line="360" w:lineRule="auto" w:before="0" w:after="40"/>
        <w:ind w:firstLine="720"/>
        <w:jc w:val="both"/>
      </w:pPr>
      <w:r>
        <w:rPr>
          <w:rFonts w:ascii="Times New Roman" w:hAnsi="Times New Roman" w:eastAsia="Times New Roman"/>
          <w:b w:val="0"/>
          <w:i w:val="0"/>
          <w:sz w:val="28"/>
        </w:rPr>
        <w:t>- Một số văn bản hiện hành còn ghi tên cơ quan quản lý theo cơ cấu tổ chức trước khi sắp xếp bộ máy, chưa được rà soát, đồng bộ.</w:t>
      </w:r>
    </w:p>
    <w:p>
      <w:pPr>
        <w:spacing w:line="276" w:lineRule="auto" w:before="120" w:after="60"/>
        <w:ind w:firstLine="0"/>
        <w:jc w:val="left"/>
      </w:pPr>
      <w:r>
        <w:rPr>
          <w:rFonts w:ascii="Times New Roman" w:hAnsi="Times New Roman" w:eastAsia="Times New Roman"/>
          <w:b/>
          <w:i w:val="0"/>
          <w:sz w:val="28"/>
        </w:rPr>
        <w:t>2. Về quản lý nhà nước</w:t>
      </w:r>
    </w:p>
    <w:p>
      <w:pPr>
        <w:spacing w:line="360" w:lineRule="auto" w:before="0" w:after="40"/>
        <w:ind w:firstLine="720"/>
        <w:jc w:val="both"/>
      </w:pPr>
      <w:r>
        <w:rPr>
          <w:rFonts w:ascii="Times New Roman" w:hAnsi="Times New Roman" w:eastAsia="Times New Roman"/>
          <w:b w:val="0"/>
          <w:i w:val="0"/>
          <w:sz w:val="28"/>
        </w:rPr>
        <w:t>- Không gian mạng hiện được quản lý theo mô hình phân lớp, mỗi lớp có cơ quan chịu trách nhiệm: Bộ Văn hóa, Thể thao và Du lịch quản lý nhà nước về thông tin điện tử, mạng xã hội - điều kiện cung cấp dịch vụ, nội dung thông tin, giấy phép và việc chấp hành nghĩa vụ của nền tảng (</w:t>
      </w:r>
      <w:r>
        <w:rPr>
          <w:rFonts w:ascii="Times New Roman" w:hAnsi="Times New Roman" w:eastAsia="Times New Roman"/>
          <w:b w:val="0"/>
          <w:i/>
          <w:sz w:val="28"/>
        </w:rPr>
        <w:t>Nghị định số 298/2026/NĐ-CP</w:t>
      </w:r>
      <w:r>
        <w:rPr>
          <w:rFonts w:ascii="Times New Roman" w:hAnsi="Times New Roman" w:eastAsia="Times New Roman"/>
          <w:b w:val="0"/>
          <w:i w:val="0"/>
          <w:sz w:val="28"/>
        </w:rPr>
        <w:t xml:space="preserve"> ngày 27/7/2026); Bộ Khoa học và Công nghệ quản lý nhà nước về viễn thông, tài nguyên Internet, công nghiệp công nghệ số, giao dịch điện tử và chuyển đổi số quốc gia (</w:t>
      </w:r>
      <w:r>
        <w:rPr>
          <w:rFonts w:ascii="Times New Roman" w:hAnsi="Times New Roman" w:eastAsia="Times New Roman"/>
          <w:b w:val="0"/>
          <w:i/>
          <w:sz w:val="28"/>
        </w:rPr>
        <w:t>Nghị định số 225/2026/NĐ-CP</w:t>
      </w:r>
      <w:r>
        <w:rPr>
          <w:rFonts w:ascii="Times New Roman" w:hAnsi="Times New Roman" w:eastAsia="Times New Roman"/>
          <w:b w:val="0"/>
          <w:i w:val="0"/>
          <w:sz w:val="28"/>
        </w:rPr>
        <w:t xml:space="preserve"> ngày 24/6/2026); Bộ Công an là đầu mối giúp Chính phủ quản lý nhà nước về an ninh mạng (khoản 2 Điều 39 </w:t>
      </w:r>
      <w:r>
        <w:rPr>
          <w:rFonts w:ascii="Times New Roman" w:hAnsi="Times New Roman" w:eastAsia="Times New Roman"/>
          <w:b w:val="0"/>
          <w:i/>
          <w:sz w:val="28"/>
        </w:rPr>
        <w:t>Luật An ninh mạng số 116/2025/QH15</w:t>
      </w:r>
      <w:r>
        <w:rPr>
          <w:rFonts w:ascii="Times New Roman" w:hAnsi="Times New Roman" w:eastAsia="Times New Roman"/>
          <w:b w:val="0"/>
          <w:i w:val="0"/>
          <w:sz w:val="28"/>
        </w:rPr>
        <w:t>), đồng thời quản lý về định danh, xác thực điện tử; các bộ, ngành khác quản lý hoạt động chuyên ngành diễn ra trên nền tảng (thương mại điện tử, thuế, ngân hàng, y tế).</w:t>
      </w:r>
    </w:p>
    <w:p>
      <w:pPr>
        <w:spacing w:line="360" w:lineRule="auto" w:before="0" w:after="40"/>
        <w:ind w:firstLine="720"/>
        <w:jc w:val="both"/>
      </w:pPr>
      <w:r>
        <w:rPr>
          <w:rFonts w:ascii="Times New Roman" w:hAnsi="Times New Roman" w:eastAsia="Times New Roman"/>
          <w:b w:val="0"/>
          <w:i w:val="0"/>
          <w:sz w:val="28"/>
        </w:rPr>
        <w:t>- Dưới lớp quản lý nhà nước: doanh nghiệp viễn thông, doanh nghiệp cung cấp dịch vụ Internet quản lý thuê bao, truy nhập, địa chỉ IP, nhật ký kỹ thuật; nền tảng, nhà cung cấp nền tảng quản lý tài khoản, nội dung và thực hiện yêu cầu của cơ quan có thẩm quyền; người sử dụng chịu trách nhiệm về hành vi của mình.</w:t>
      </w:r>
    </w:p>
    <w:p>
      <w:pPr>
        <w:spacing w:line="360" w:lineRule="auto" w:before="0" w:after="40"/>
        <w:ind w:firstLine="720"/>
        <w:jc w:val="both"/>
      </w:pPr>
      <w:r>
        <w:rPr>
          <w:rFonts w:ascii="Times New Roman" w:hAnsi="Times New Roman" w:eastAsia="Times New Roman"/>
          <w:b w:val="0"/>
          <w:i w:val="0"/>
          <w:sz w:val="28"/>
        </w:rPr>
        <w:t>- Trong Bộ Công an, C06 quản lý lớp danh tính (xác lập, xác thực danh tính điện tử; quản lý VNeID và Hệ thống định danh, xác thực điện tử); A05 quản lý lớp an ninh mạng (phát hiện, xử lý hoạt động xâm phạm an ninh quốc gia, trật tự, an toàn xã hội; quản lý, khai thác địa chỉ IP, thiết bị, tên miền, dấu vết kỹ thuật phục vụ truy vết).</w:t>
      </w:r>
    </w:p>
    <w:p>
      <w:pPr>
        <w:spacing w:line="276" w:lineRule="auto" w:before="120" w:after="60"/>
        <w:ind w:firstLine="0"/>
        <w:jc w:val="left"/>
      </w:pPr>
      <w:r>
        <w:rPr>
          <w:rFonts w:ascii="Times New Roman" w:hAnsi="Times New Roman" w:eastAsia="Times New Roman"/>
          <w:b/>
          <w:i w:val="0"/>
          <w:sz w:val="28"/>
        </w:rPr>
        <w:t>3. Về định danh, xác định chủ thể trên không gian mạng (vướng mắc trọng tâm)</w:t>
      </w:r>
    </w:p>
    <w:p>
      <w:pPr>
        <w:spacing w:line="360" w:lineRule="auto" w:before="0" w:after="40"/>
        <w:ind w:firstLine="720"/>
        <w:jc w:val="both"/>
      </w:pPr>
      <w:r>
        <w:rPr>
          <w:rFonts w:ascii="Times New Roman" w:hAnsi="Times New Roman" w:eastAsia="Times New Roman"/>
          <w:b w:val="0"/>
          <w:i w:val="0"/>
          <w:sz w:val="28"/>
        </w:rPr>
        <w:t>- Mô hình quản lý nêu trên về cơ bản đã đủ đầu mối, đủ công cụ tác động vào tài khoản và nội dung; vướng mắc nằm ở chỗ chưa xác định được chủ thể xuyên suốt: xác thực bằng số điện thoại mới xác định đến thuê bao; người sử dụng thay đổi số điện thoại, lập tài khoản mới hoặc chuyển sang nền tảng khác là các lớp quản lý mất mối liên hệ với chủ thể.</w:t>
      </w:r>
    </w:p>
    <w:p>
      <w:pPr>
        <w:spacing w:line="360" w:lineRule="auto" w:before="0" w:after="40"/>
        <w:ind w:firstLine="720"/>
        <w:jc w:val="both"/>
      </w:pPr>
      <w:r>
        <w:rPr>
          <w:rFonts w:ascii="Times New Roman" w:hAnsi="Times New Roman" w:eastAsia="Times New Roman"/>
          <w:b w:val="0"/>
          <w:i w:val="0"/>
          <w:sz w:val="28"/>
        </w:rPr>
        <w:t>- Kết quả truy vết của A05 vì vậy dừng ở tài khoản và thuê bao; việc quy về đúng công dân phải thực hiện qua lớp danh tính, trong khi lớp danh tính của C06 chưa được liên kết với tài khoản mạng xã hội nên chưa phục vụ trực tiếp việc xác định chủ thể trên không gian mạng.</w:t>
      </w:r>
    </w:p>
    <w:p>
      <w:pPr>
        <w:spacing w:line="360" w:lineRule="auto" w:before="0" w:after="40"/>
        <w:ind w:firstLine="720"/>
        <w:jc w:val="both"/>
      </w:pPr>
      <w:r>
        <w:rPr>
          <w:rFonts w:ascii="Times New Roman" w:hAnsi="Times New Roman" w:eastAsia="Times New Roman"/>
          <w:b w:val="0"/>
          <w:i w:val="0"/>
          <w:sz w:val="28"/>
        </w:rPr>
        <w:t>- Chưa có quy định thống nhất về định danh nền tảng và nhà cung cấp nền tảng: chưa có hồ sơ định danh số gắn nền tảng với pháp nhân, người đại diện và trạng thái pháp lý; chưa có tiêu chí xác định nền tảng có mức độ ảnh hưởng cao gắn với nghĩa vụ hiện diện pháp lý tại Việt Nam.</w:t>
      </w:r>
    </w:p>
    <w:p>
      <w:pPr>
        <w:spacing w:line="360" w:lineRule="auto" w:before="0" w:after="40"/>
        <w:ind w:firstLine="720"/>
        <w:jc w:val="both"/>
      </w:pPr>
      <w:r>
        <w:rPr>
          <w:rFonts w:ascii="Times New Roman" w:hAnsi="Times New Roman" w:eastAsia="Times New Roman"/>
          <w:b w:val="0"/>
          <w:i w:val="0"/>
          <w:sz w:val="28"/>
        </w:rPr>
        <w:t>- Ranh giới giữa lớp danh tính và lớp an ninh mạng chưa được xác định thống nhất, tiềm ẩn nguy cơ trùng lặp đầu tư và hình thành hai kho danh tính công dân song song (VNeID và NCIP/CyberID nếu triển khai theo hướng độc lập).</w:t>
      </w:r>
    </w:p>
    <w:p>
      <w:pPr>
        <w:spacing w:before="120" w:after="0"/>
        <w:ind w:firstLine="0"/>
        <w:jc w:val="center"/>
      </w:pPr>
      <w:r>
        <w:drawing>
          <wp:inline xmlns:a="http://schemas.openxmlformats.org/drawingml/2006/main" xmlns:pic="http://schemas.openxmlformats.org/drawingml/2006/picture">
            <wp:extent cx="4896000" cy="2815255"/>
            <wp:docPr id="1" name="Picture 1"/>
            <wp:cNvGraphicFramePr>
              <a:graphicFrameLocks noChangeAspect="1"/>
            </wp:cNvGraphicFramePr>
            <a:graphic>
              <a:graphicData uri="http://schemas.openxmlformats.org/drawingml/2006/picture">
                <pic:pic>
                  <pic:nvPicPr>
                    <pic:cNvPr id="0" name="sodo2.png"/>
                    <pic:cNvPicPr/>
                  </pic:nvPicPr>
                  <pic:blipFill>
                    <a:blip r:embed="rId13"/>
                    <a:stretch>
                      <a:fillRect/>
                    </a:stretch>
                  </pic:blipFill>
                  <pic:spPr>
                    <a:xfrm>
                      <a:off x="0" y="0"/>
                      <a:ext cx="4896000" cy="2815255"/>
                    </a:xfrm>
                    <a:prstGeom prst="rect"/>
                  </pic:spPr>
                </pic:pic>
              </a:graphicData>
            </a:graphic>
          </wp:inline>
        </w:drawing>
      </w:r>
    </w:p>
    <w:p>
      <w:pPr>
        <w:spacing w:line="276" w:lineRule="auto" w:before="40" w:after="160"/>
        <w:ind w:firstLine="0"/>
        <w:jc w:val="center"/>
      </w:pPr>
      <w:r>
        <w:rPr>
          <w:rFonts w:ascii="Times New Roman" w:hAnsi="Times New Roman" w:eastAsia="Times New Roman"/>
          <w:b w:val="0"/>
          <w:i/>
          <w:sz w:val="26"/>
        </w:rPr>
        <w:t>Sơ đồ 1. Mô hình quản lý theo lớp và vị trí của C06, A05</w:t>
      </w:r>
    </w:p>
    <w:p>
      <w:pPr>
        <w:spacing w:line="276" w:lineRule="auto" w:before="200" w:after="80"/>
        <w:ind w:firstLine="0"/>
        <w:jc w:val="left"/>
      </w:pPr>
      <w:r>
        <w:rPr>
          <w:rFonts w:ascii="Times New Roman" w:hAnsi="Times New Roman" w:eastAsia="Times New Roman"/>
          <w:b/>
          <w:i w:val="0"/>
          <w:sz w:val="28"/>
        </w:rPr>
        <w:t>II. GIẢI PHÁP VỀ MÔ HÌNH ĐỊNH DANH</w:t>
      </w:r>
    </w:p>
    <w:p>
      <w:pPr>
        <w:spacing w:line="276" w:lineRule="auto" w:before="120" w:after="60"/>
        <w:ind w:firstLine="0"/>
        <w:jc w:val="left"/>
      </w:pPr>
      <w:r>
        <w:rPr>
          <w:rFonts w:ascii="Times New Roman" w:hAnsi="Times New Roman" w:eastAsia="Times New Roman"/>
          <w:b/>
          <w:i w:val="0"/>
          <w:sz w:val="28"/>
        </w:rPr>
        <w:t>1. Mô hình tổng thể: định danh ba lớp trên một danh tính gốc</w:t>
      </w:r>
    </w:p>
    <w:p>
      <w:pPr>
        <w:spacing w:line="360" w:lineRule="auto" w:before="0" w:after="40"/>
        <w:ind w:firstLine="720"/>
        <w:jc w:val="both"/>
      </w:pPr>
      <w:r>
        <w:rPr>
          <w:rFonts w:ascii="Times New Roman" w:hAnsi="Times New Roman" w:eastAsia="Times New Roman"/>
          <w:b w:val="0"/>
          <w:i w:val="0"/>
          <w:sz w:val="28"/>
        </w:rPr>
        <w:t xml:space="preserve">- Giải quyết vướng mắc tại Mục I bằng mô hình định danh ba lớp, thống nhất trên một danh tính gốc là danh tính điện tử VNeID: (1) định danh người sử dụng - gắn tài khoản trên nền tảng với công dân cụ thể; (2) định danh nền tảng, dịch vụ số - ứng dụng, phần mềm, dịch vụ số là đối tượng định danh, liên kết với chủ thể sở hữu, quản lý (Điều 7, Điều 20 dự thảo </w:t>
      </w:r>
      <w:r>
        <w:rPr>
          <w:rFonts w:ascii="Times New Roman" w:hAnsi="Times New Roman" w:eastAsia="Times New Roman"/>
          <w:b w:val="0"/>
          <w:i/>
          <w:sz w:val="28"/>
        </w:rPr>
        <w:t>Luật Định danh và xác thực điện tử</w:t>
      </w:r>
      <w:r>
        <w:rPr>
          <w:rFonts w:ascii="Times New Roman" w:hAnsi="Times New Roman" w:eastAsia="Times New Roman"/>
          <w:b w:val="0"/>
          <w:i w:val="0"/>
          <w:sz w:val="28"/>
        </w:rPr>
        <w:t xml:space="preserve">); (3) định danh nhà cung cấp nền tảng - pháp nhân chịu trách nhiệm, trong đó nền tảng có số lượng người sử dụng lớn tại Việt Nam phải có pháp nhân hoặc đại diện tại Việt Nam (khoản 3 Điều 25 </w:t>
      </w:r>
      <w:r>
        <w:rPr>
          <w:rFonts w:ascii="Times New Roman" w:hAnsi="Times New Roman" w:eastAsia="Times New Roman"/>
          <w:b w:val="0"/>
          <w:i/>
          <w:sz w:val="28"/>
        </w:rPr>
        <w:t>Luật An ninh mạng số 116/2025/QH15</w:t>
      </w:r>
      <w:r>
        <w:rPr>
          <w:rFonts w:ascii="Times New Roman" w:hAnsi="Times New Roman" w:eastAsia="Times New Roman"/>
          <w:b w:val="0"/>
          <w:i w:val="0"/>
          <w:sz w:val="28"/>
        </w:rPr>
        <w:t xml:space="preserve"> đã đặt yêu cầu về chi nhánh, văn phòng đại diện đối với nhóm doanh nghiệp nước ngoài thuộc trường hợp luật định).</w:t>
      </w:r>
    </w:p>
    <w:p>
      <w:pPr>
        <w:spacing w:line="360" w:lineRule="auto" w:before="0" w:after="40"/>
        <w:ind w:firstLine="720"/>
        <w:jc w:val="both"/>
      </w:pPr>
      <w:r>
        <w:rPr>
          <w:rFonts w:ascii="Times New Roman" w:hAnsi="Times New Roman" w:eastAsia="Times New Roman"/>
          <w:b w:val="0"/>
          <w:i w:val="0"/>
          <w:sz w:val="28"/>
        </w:rPr>
        <w:t>- Nguyên tắc của mô hình: hoạt động định danh không làm thay đổi thẩm quyền quản lý chuyên ngành; mỗi lớp định danh gắn với một chủ thể chịu trách nhiệm; dữ liệu căn cước của công dân không rời khỏi hệ thống của Nhà nước.</w:t>
      </w:r>
    </w:p>
    <w:p>
      <w:pPr>
        <w:spacing w:line="276" w:lineRule="auto" w:before="120" w:after="60"/>
        <w:ind w:firstLine="0"/>
        <w:jc w:val="left"/>
      </w:pPr>
      <w:r>
        <w:rPr>
          <w:rFonts w:ascii="Times New Roman" w:hAnsi="Times New Roman" w:eastAsia="Times New Roman"/>
          <w:b/>
          <w:i w:val="0"/>
          <w:sz w:val="28"/>
        </w:rPr>
        <w:t>2. Định danh người sử dụng bằng mã định danh ẩn danh - nội dung trọng tâm</w:t>
      </w:r>
    </w:p>
    <w:p>
      <w:pPr>
        <w:spacing w:line="360" w:lineRule="auto" w:before="0" w:after="40"/>
        <w:ind w:firstLine="720"/>
        <w:jc w:val="both"/>
      </w:pPr>
      <w:r>
        <w:rPr>
          <w:rFonts w:ascii="Times New Roman" w:hAnsi="Times New Roman" w:eastAsia="Times New Roman"/>
          <w:b w:val="0"/>
          <w:i w:val="0"/>
          <w:sz w:val="28"/>
        </w:rPr>
        <w:t xml:space="preserve">- Trong ba lớp trên, lớp định danh người sử dụng là lớp quyết định, vì toàn bộ vướng mắc về xác định chủ thể đều bắt nguồn từ việc tài khoản chưa gắn với danh tính công dân. Yêu cầu đặt ra gồm hai mặt: gắn được tài khoản với căn cước, nhưng không được cung cấp dữ liệu căn cước cho nền tảng (giới hạn tại khoản 2 Điều 29 </w:t>
      </w:r>
      <w:r>
        <w:rPr>
          <w:rFonts w:ascii="Times New Roman" w:hAnsi="Times New Roman" w:eastAsia="Times New Roman"/>
          <w:b w:val="0"/>
          <w:i/>
          <w:sz w:val="28"/>
        </w:rPr>
        <w:t>Luật Bảo vệ dữ liệu cá nhân</w:t>
      </w:r>
      <w:r>
        <w:rPr>
          <w:rFonts w:ascii="Times New Roman" w:hAnsi="Times New Roman" w:eastAsia="Times New Roman"/>
          <w:b w:val="0"/>
          <w:i w:val="0"/>
          <w:sz w:val="28"/>
        </w:rPr>
        <w:t>). Cơ chế đáp ứng đồng thời hai yêu cầu này là mã định danh ẩn danh.</w:t>
      </w:r>
    </w:p>
    <w:p>
      <w:pPr>
        <w:spacing w:line="360" w:lineRule="auto" w:before="0" w:after="40"/>
        <w:ind w:firstLine="720"/>
        <w:jc w:val="both"/>
      </w:pPr>
      <w:r>
        <w:rPr>
          <w:rFonts w:ascii="Times New Roman" w:hAnsi="Times New Roman" w:eastAsia="Times New Roman"/>
          <w:b w:val="0"/>
          <w:i w:val="0"/>
          <w:sz w:val="28"/>
        </w:rPr>
        <w:t>- Cơ chế vận hành theo quan hệ ba thành phần “danh tính gốc - mã ẩn danh - tài khoản nền tảng”: mỗi công dân, trên mỗi nền tảng, được Hệ thống định danh và xác thực điện tử cấp một mã ẩn danh riêng; nền tảng chỉ lưu mã và kết quả xác thực, không tiếp nhận dữ liệu căn cước; tài khoản lập mới trên cùng nền tảng vẫn quy chiếu về một danh tính gốc duy nhất.</w:t>
      </w:r>
    </w:p>
    <w:p>
      <w:pPr>
        <w:spacing w:line="360" w:lineRule="auto" w:before="0" w:after="40"/>
        <w:ind w:firstLine="720"/>
        <w:jc w:val="both"/>
      </w:pPr>
      <w:r>
        <w:rPr>
          <w:rFonts w:ascii="Times New Roman" w:hAnsi="Times New Roman" w:eastAsia="Times New Roman"/>
          <w:b w:val="0"/>
          <w:i w:val="0"/>
          <w:sz w:val="28"/>
        </w:rPr>
        <w:t>- Kết quả đạt được: cơ quan có thẩm quyền xác định được chủ thể xuyên suốt vòng đời tài khoản, kể cả khi người sử dụng thay đổi số điện thoại hoặc tài khoản; quyền riêng tư của người sử dụng đối với nền tảng được bảo vệ ở mức cao hơn hiện nay do nền tảng không còn nhu cầu thu thập số điện thoại, giấy tờ để xác thực; kết quả truy vết của A05 quy chiếu được về đúng công dân qua lớp danh tính của C06.</w:t>
      </w:r>
    </w:p>
    <w:p>
      <w:pPr>
        <w:spacing w:before="120" w:after="0"/>
        <w:ind w:firstLine="0"/>
        <w:jc w:val="center"/>
      </w:pPr>
      <w:r>
        <w:drawing>
          <wp:inline xmlns:a="http://schemas.openxmlformats.org/drawingml/2006/main" xmlns:pic="http://schemas.openxmlformats.org/drawingml/2006/picture">
            <wp:extent cx="4896000" cy="1966732"/>
            <wp:docPr id="2" name="Picture 2"/>
            <wp:cNvGraphicFramePr>
              <a:graphicFrameLocks noChangeAspect="1"/>
            </wp:cNvGraphicFramePr>
            <a:graphic>
              <a:graphicData uri="http://schemas.openxmlformats.org/drawingml/2006/picture">
                <pic:pic>
                  <pic:nvPicPr>
                    <pic:cNvPr id="0" name="sodo1.png"/>
                    <pic:cNvPicPr/>
                  </pic:nvPicPr>
                  <pic:blipFill>
                    <a:blip r:embed="rId14"/>
                    <a:stretch>
                      <a:fillRect/>
                    </a:stretch>
                  </pic:blipFill>
                  <pic:spPr>
                    <a:xfrm>
                      <a:off x="0" y="0"/>
                      <a:ext cx="4896000" cy="1966732"/>
                    </a:xfrm>
                    <a:prstGeom prst="rect"/>
                  </pic:spPr>
                </pic:pic>
              </a:graphicData>
            </a:graphic>
          </wp:inline>
        </w:drawing>
      </w:r>
    </w:p>
    <w:p>
      <w:pPr>
        <w:spacing w:line="276" w:lineRule="auto" w:before="40" w:after="160"/>
        <w:ind w:firstLine="0"/>
        <w:jc w:val="center"/>
      </w:pPr>
      <w:r>
        <w:rPr>
          <w:rFonts w:ascii="Times New Roman" w:hAnsi="Times New Roman" w:eastAsia="Times New Roman"/>
          <w:b w:val="0"/>
          <w:i/>
          <w:sz w:val="26"/>
        </w:rPr>
        <w:t>Sơ đồ 2. Cơ chế mã định danh ẩn danh liên kết tài khoản nền tảng với danh tính gốc</w:t>
      </w:r>
    </w:p>
    <w:p>
      <w:pPr>
        <w:spacing w:line="360" w:lineRule="auto" w:before="0" w:after="40"/>
        <w:ind w:firstLine="720"/>
        <w:jc w:val="both"/>
      </w:pPr>
      <w:r>
        <w:rPr>
          <w:rFonts w:ascii="Times New Roman" w:hAnsi="Times New Roman" w:eastAsia="Times New Roman"/>
          <w:b w:val="0"/>
          <w:i w:val="0"/>
          <w:sz w:val="28"/>
        </w:rPr>
        <w:t xml:space="preserve">- Cơ chế này đã được đưa vào dự thảo Nghị định sửa đổi </w:t>
      </w:r>
      <w:r>
        <w:rPr>
          <w:rFonts w:ascii="Times New Roman" w:hAnsi="Times New Roman" w:eastAsia="Times New Roman"/>
          <w:b w:val="0"/>
          <w:i/>
          <w:sz w:val="28"/>
        </w:rPr>
        <w:t>Nghị định số 69/2024/NĐ-CP</w:t>
      </w:r>
      <w:r>
        <w:rPr>
          <w:rFonts w:ascii="Times New Roman" w:hAnsi="Times New Roman" w:eastAsia="Times New Roman"/>
          <w:b w:val="0"/>
          <w:i w:val="0"/>
          <w:sz w:val="28"/>
        </w:rPr>
        <w:t xml:space="preserve"> đang trình: tài khoản giao dịch điện tử trên các nhóm nền tảng tại Việt Nam phải liên kết với tài khoản định danh điện tử bằng mã định danh ẩn danh trước khi sử dụng; giao Bộ Công an hướng dẫn, kiểm tra, đôn đốc thực hiện.</w:t>
      </w:r>
    </w:p>
    <w:p>
      <w:pPr>
        <w:spacing w:line="276" w:lineRule="auto" w:before="200" w:after="80"/>
        <w:ind w:firstLine="0"/>
        <w:jc w:val="left"/>
      </w:pPr>
      <w:r>
        <w:rPr>
          <w:rFonts w:ascii="Times New Roman" w:hAnsi="Times New Roman" w:eastAsia="Times New Roman"/>
          <w:b/>
          <w:i w:val="0"/>
          <w:sz w:val="28"/>
        </w:rPr>
        <w:t>III. TỔ CHỨC THỰC HIỆN</w:t>
      </w:r>
    </w:p>
    <w:p>
      <w:pPr>
        <w:spacing w:line="276" w:lineRule="auto" w:before="120" w:after="60"/>
        <w:ind w:firstLine="0"/>
        <w:jc w:val="left"/>
      </w:pPr>
      <w:r>
        <w:rPr>
          <w:rFonts w:ascii="Times New Roman" w:hAnsi="Times New Roman" w:eastAsia="Times New Roman"/>
          <w:b/>
          <w:i w:val="0"/>
          <w:sz w:val="28"/>
        </w:rPr>
        <w:t>1. Trước mắt</w:t>
      </w:r>
    </w:p>
    <w:p>
      <w:pPr>
        <w:spacing w:line="360" w:lineRule="auto" w:before="0" w:after="40"/>
        <w:ind w:firstLine="720"/>
        <w:jc w:val="both"/>
      </w:pPr>
      <w:r>
        <w:rPr>
          <w:rFonts w:ascii="Times New Roman" w:hAnsi="Times New Roman" w:eastAsia="Times New Roman"/>
          <w:b w:val="0"/>
          <w:i w:val="0"/>
          <w:sz w:val="28"/>
        </w:rPr>
        <w:t xml:space="preserve">- Hoàn thiện, trình ban hành Nghị định sửa đổi </w:t>
      </w:r>
      <w:r>
        <w:rPr>
          <w:rFonts w:ascii="Times New Roman" w:hAnsi="Times New Roman" w:eastAsia="Times New Roman"/>
          <w:b w:val="0"/>
          <w:i/>
          <w:sz w:val="28"/>
        </w:rPr>
        <w:t>Nghị định số 69/2024/NĐ-CP</w:t>
      </w:r>
      <w:r>
        <w:rPr>
          <w:rFonts w:ascii="Times New Roman" w:hAnsi="Times New Roman" w:eastAsia="Times New Roman"/>
          <w:b w:val="0"/>
          <w:i w:val="0"/>
          <w:sz w:val="28"/>
        </w:rPr>
        <w:t>, giữ quy định liên kết tài khoản với tài khoản định danh điện tử bằng mã định danh ẩn danh.</w:t>
      </w:r>
    </w:p>
    <w:p>
      <w:pPr>
        <w:spacing w:line="360" w:lineRule="auto" w:before="0" w:after="40"/>
        <w:ind w:firstLine="720"/>
        <w:jc w:val="both"/>
      </w:pPr>
      <w:r>
        <w:rPr>
          <w:rFonts w:ascii="Times New Roman" w:hAnsi="Times New Roman" w:eastAsia="Times New Roman"/>
          <w:b w:val="0"/>
          <w:i w:val="0"/>
          <w:sz w:val="28"/>
        </w:rPr>
        <w:t>- C06 chuẩn hóa một quy trình kỹ thuật thống nhất để các nền tảng kết nối VNeID; xây dựng tài liệu hướng dẫn kết nối, xác thực cho các nhóm nền tảng thuộc phạm vi điều chỉnh ngay sau khi Nghị định được ban hành.</w:t>
      </w:r>
    </w:p>
    <w:p>
      <w:pPr>
        <w:spacing w:line="360" w:lineRule="auto" w:before="0" w:after="40"/>
        <w:ind w:firstLine="720"/>
        <w:jc w:val="both"/>
      </w:pPr>
      <w:r>
        <w:rPr>
          <w:rFonts w:ascii="Times New Roman" w:hAnsi="Times New Roman" w:eastAsia="Times New Roman"/>
          <w:b w:val="0"/>
          <w:i w:val="0"/>
          <w:sz w:val="28"/>
        </w:rPr>
        <w:t>- Rà soát, đồng bộ tên cơ quan quản lý trong các văn bản về thông tin trên mạng theo phân công sau sắp xếp bộ máy.</w:t>
      </w:r>
    </w:p>
    <w:p>
      <w:pPr>
        <w:spacing w:line="276" w:lineRule="auto" w:before="120" w:after="60"/>
        <w:ind w:firstLine="0"/>
        <w:jc w:val="left"/>
      </w:pPr>
      <w:r>
        <w:rPr>
          <w:rFonts w:ascii="Times New Roman" w:hAnsi="Times New Roman" w:eastAsia="Times New Roman"/>
          <w:b/>
          <w:i w:val="0"/>
          <w:sz w:val="28"/>
        </w:rPr>
        <w:t>2. Trung hạn</w:t>
      </w:r>
    </w:p>
    <w:p>
      <w:pPr>
        <w:spacing w:line="360" w:lineRule="auto" w:before="0" w:after="40"/>
        <w:ind w:firstLine="720"/>
        <w:jc w:val="both"/>
      </w:pPr>
      <w:r>
        <w:rPr>
          <w:rFonts w:ascii="Times New Roman" w:hAnsi="Times New Roman" w:eastAsia="Times New Roman"/>
          <w:b w:val="0"/>
          <w:i w:val="0"/>
          <w:sz w:val="28"/>
        </w:rPr>
        <w:t xml:space="preserve">- Hoàn thiện quy định về định danh nền tảng, dịch vụ số và nhà cung cấp nền tảng trong dự thảo </w:t>
      </w:r>
      <w:r>
        <w:rPr>
          <w:rFonts w:ascii="Times New Roman" w:hAnsi="Times New Roman" w:eastAsia="Times New Roman"/>
          <w:b w:val="0"/>
          <w:i/>
          <w:sz w:val="28"/>
        </w:rPr>
        <w:t>Luật Định danh và xác thực điện tử</w:t>
      </w:r>
      <w:r>
        <w:rPr>
          <w:rFonts w:ascii="Times New Roman" w:hAnsi="Times New Roman" w:eastAsia="Times New Roman"/>
          <w:b w:val="0"/>
          <w:i w:val="0"/>
          <w:sz w:val="28"/>
        </w:rPr>
        <w:t>; khẳng định nguyên tắc hoạt động định danh không làm thay đổi thẩm quyền quản lý chuyên ngành.</w:t>
      </w:r>
    </w:p>
    <w:p>
      <w:pPr>
        <w:spacing w:line="360" w:lineRule="auto" w:before="0" w:after="40"/>
        <w:ind w:firstLine="720"/>
        <w:jc w:val="both"/>
      </w:pPr>
      <w:r>
        <w:rPr>
          <w:rFonts w:ascii="Times New Roman" w:hAnsi="Times New Roman" w:eastAsia="Times New Roman"/>
          <w:b w:val="0"/>
          <w:i w:val="0"/>
          <w:sz w:val="28"/>
        </w:rPr>
        <w:t>- Nghiên cứu tiêu chí “nền tảng có mức độ ảnh hưởng cao” trên cơ sở số người sử dụng, lượt truy cập, doanh thu, loại dữ liệu xử lý và mức độ tác động đến an ninh, trật tự, gắn với nghĩa vụ có pháp nhân hoặc đại diện tại Việt Nam; ngưỡng cụ thể xác định sau khi đánh giá tác động.</w:t>
      </w:r>
    </w:p>
    <w:p>
      <w:pPr>
        <w:spacing w:line="276" w:lineRule="auto" w:before="120" w:after="60"/>
        <w:ind w:firstLine="0"/>
        <w:jc w:val="left"/>
      </w:pPr>
      <w:r>
        <w:rPr>
          <w:rFonts w:ascii="Times New Roman" w:hAnsi="Times New Roman" w:eastAsia="Times New Roman"/>
          <w:b/>
          <w:i w:val="0"/>
          <w:sz w:val="28"/>
        </w:rPr>
        <w:t>3. Phân công trong Bộ</w:t>
      </w:r>
    </w:p>
    <w:p>
      <w:pPr>
        <w:spacing w:line="360" w:lineRule="auto" w:before="0" w:after="40"/>
        <w:ind w:firstLine="720"/>
        <w:jc w:val="both"/>
      </w:pPr>
      <w:r>
        <w:rPr>
          <w:rFonts w:ascii="Times New Roman" w:hAnsi="Times New Roman" w:eastAsia="Times New Roman"/>
          <w:b w:val="0"/>
          <w:i w:val="0"/>
          <w:sz w:val="28"/>
        </w:rPr>
        <w:t>- C06 chủ trì lớp danh tính: VNeID, mã định danh ẩn danh, định danh nền tảng, dịch vụ số theo pháp luật về định danh; chủ trì hướng dẫn kỹ thuật kết nối các nền tảng.</w:t>
      </w:r>
    </w:p>
    <w:p>
      <w:pPr>
        <w:spacing w:line="360" w:lineRule="auto" w:before="0" w:after="40"/>
        <w:ind w:firstLine="720"/>
        <w:jc w:val="both"/>
      </w:pPr>
      <w:r>
        <w:rPr>
          <w:rFonts w:ascii="Times New Roman" w:hAnsi="Times New Roman" w:eastAsia="Times New Roman"/>
          <w:b w:val="0"/>
          <w:i w:val="0"/>
          <w:sz w:val="28"/>
        </w:rPr>
        <w:t>- A05 chủ trì lớp an ninh mạng: xác định hành vi, quản lý, khai thác địa chỉ IP, thiết bị, tên miền, truy vết; khai thác kết quả định danh của C06 để xác định chủ thể; NCIP/CyberID trường hợp triển khai là công cụ nghiệp vụ của A05, không thay thế VNeID.</w:t>
      </w:r>
    </w:p>
    <w:p>
      <w:pPr>
        <w:spacing w:line="360" w:lineRule="auto" w:before="0" w:after="40"/>
        <w:ind w:firstLine="720"/>
        <w:jc w:val="both"/>
      </w:pPr>
      <w:r>
        <w:rPr>
          <w:rFonts w:ascii="Times New Roman" w:hAnsi="Times New Roman" w:eastAsia="Times New Roman"/>
          <w:b w:val="0"/>
          <w:i w:val="0"/>
          <w:sz w:val="28"/>
        </w:rPr>
        <w:t>- C06, A05 phối hợp Bộ Văn hóa, Thể thao và Du lịch, Bộ Khoa học và Công nghệ trong việc hướng dẫn nền tảng, doanh nghiệp viễn thông thực hiện nghĩa vụ liên quan đến định danh, xác thực.</w:t>
      </w:r>
    </w:p>
    <w:p>
      <w:pPr>
        <w:spacing w:line="276" w:lineRule="auto" w:before="200" w:after="80"/>
        <w:ind w:firstLine="0"/>
        <w:jc w:val="left"/>
      </w:pPr>
      <w:r>
        <w:rPr>
          <w:rFonts w:ascii="Times New Roman" w:hAnsi="Times New Roman" w:eastAsia="Times New Roman"/>
          <w:b/>
          <w:i w:val="0"/>
          <w:sz w:val="28"/>
        </w:rPr>
        <w:t>IV. NỘI DUNG ĐỀ XUẤT XIN Ý KIẾN CHỈ ĐẠO</w:t>
      </w:r>
    </w:p>
    <w:p>
      <w:pPr>
        <w:spacing w:line="360" w:lineRule="auto" w:before="0" w:after="40"/>
        <w:ind w:firstLine="720"/>
        <w:jc w:val="both"/>
      </w:pPr>
      <w:r>
        <w:rPr>
          <w:rFonts w:ascii="Times New Roman" w:hAnsi="Times New Roman" w:eastAsia="Times New Roman"/>
          <w:b w:val="0"/>
          <w:i w:val="0"/>
          <w:sz w:val="28"/>
        </w:rPr>
        <w:t>1. Thống nhất mô hình định danh ba lớp (người sử dụng - nền tảng, dịch vụ số - nhà cung cấp nền tảng) trên một danh tính gốc VNeID, làm cơ sở giải quyết vướng mắc về xác định chủ thể trên không gian mạng.</w:t>
      </w:r>
    </w:p>
    <w:p>
      <w:pPr>
        <w:spacing w:line="360" w:lineRule="auto" w:before="0" w:after="40"/>
        <w:ind w:firstLine="720"/>
        <w:jc w:val="both"/>
      </w:pPr>
      <w:r>
        <w:rPr>
          <w:rFonts w:ascii="Times New Roman" w:hAnsi="Times New Roman" w:eastAsia="Times New Roman"/>
          <w:b w:val="0"/>
          <w:i w:val="0"/>
          <w:sz w:val="28"/>
        </w:rPr>
        <w:t xml:space="preserve">2. Thống nhất xác định định danh người sử dụng bằng mã định danh ẩn danh là nội dung trọng tâm; đẩy nhanh tiến độ trình ban hành Nghị định sửa đổi </w:t>
      </w:r>
      <w:r>
        <w:rPr>
          <w:rFonts w:ascii="Times New Roman" w:hAnsi="Times New Roman" w:eastAsia="Times New Roman"/>
          <w:b w:val="0"/>
          <w:i/>
          <w:sz w:val="28"/>
        </w:rPr>
        <w:t>Nghị định số 69/2024/NĐ-CP</w:t>
      </w:r>
      <w:r>
        <w:rPr>
          <w:rFonts w:ascii="Times New Roman" w:hAnsi="Times New Roman" w:eastAsia="Times New Roman"/>
          <w:b w:val="0"/>
          <w:i w:val="0"/>
          <w:sz w:val="28"/>
        </w:rPr>
        <w:t>.</w:t>
      </w:r>
    </w:p>
    <w:p>
      <w:pPr>
        <w:spacing w:line="360" w:lineRule="auto" w:before="0" w:after="40"/>
        <w:ind w:firstLine="720"/>
        <w:jc w:val="both"/>
      </w:pPr>
      <w:r>
        <w:rPr>
          <w:rFonts w:ascii="Times New Roman" w:hAnsi="Times New Roman" w:eastAsia="Times New Roman"/>
          <w:b w:val="0"/>
          <w:i w:val="0"/>
          <w:sz w:val="28"/>
        </w:rPr>
        <w:t>3. Thống nhất phân định: C06 quản lý lớp danh tính, A05 quản lý lớp an ninh mạng và khai thác kết quả định danh; không hình thành kho danh tính công dân song song với VNeID.</w:t>
      </w:r>
    </w:p>
    <w:p>
      <w:pPr>
        <w:spacing w:line="360" w:lineRule="auto" w:before="0" w:after="40"/>
        <w:ind w:firstLine="720"/>
        <w:jc w:val="both"/>
      </w:pPr>
      <w:r>
        <w:rPr>
          <w:rFonts w:ascii="Times New Roman" w:hAnsi="Times New Roman" w:eastAsia="Times New Roman"/>
          <w:b w:val="0"/>
          <w:i w:val="0"/>
          <w:sz w:val="28"/>
        </w:rPr>
        <w:t xml:space="preserve">4. Giao nghiên cứu tiêu chí “nền tảng có mức độ ảnh hưởng cao” và nghĩa vụ hiện diện pháp lý tại Việt Nam, báo cáo lãnh đạo Bộ xem xét, chỉ đạo trong quá trình hoàn thiện dự thảo </w:t>
      </w:r>
      <w:r>
        <w:rPr>
          <w:rFonts w:ascii="Times New Roman" w:hAnsi="Times New Roman" w:eastAsia="Times New Roman"/>
          <w:b w:val="0"/>
          <w:i/>
          <w:sz w:val="28"/>
        </w:rPr>
        <w:t>Luật Định danh và xác thực điện tử</w:t>
      </w:r>
      <w:r>
        <w:rPr>
          <w:rFonts w:ascii="Times New Roman" w:hAnsi="Times New Roman" w:eastAsia="Times New Roman"/>
          <w:b w:val="0"/>
          <w:i w:val="0"/>
          <w:sz w:val="28"/>
        </w:rPr>
        <w:t>./.</w:t>
      </w:r>
    </w:p>
    <w:sectPr w:rsidR="00FC693F" w:rsidRPr="0006063C" w:rsidSect="00034616">
      <w:headerReference w:type="first" r:id="rId9"/>
      <w:headerReference w:type="default" r:id="rId10"/>
      <w:footerReference w:type="first" r:id="rId11"/>
      <w:footerReference w:type="default" r:id="rId12"/>
      <w:pgSz w:w="11906" w:h="16838"/>
      <w:pgMar w:top="1134" w:right="1020" w:bottom="1247" w:left="1814" w:header="454"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969"/>
      <w:gridCol w:w="5102"/>
    </w:tblGrid>
    <w:tr>
      <w:tc>
        <w:tcPr>
          <w:tcW w:type="dxa" w:w="3969"/>
          <w:vAlign w:val="center"/>
          <w:tcMar>
            <w:top w:w="0" w:type="dxa"/>
            <w:start w:w="0" w:type="dxa"/>
            <w:bottom w:w="0" w:type="dxa"/>
            <w:end w:w="0" w:type="dxa"/>
          </w:tcMar>
        </w:tcPr>
        <w:p>
          <w:pPr>
            <w:spacing w:after="0" w:line="240" w:lineRule="auto"/>
            <w:jc w:val="center"/>
          </w:pPr>
          <w:r>
            <w:rPr>
              <w:rFonts w:ascii="Times New Roman" w:hAnsi="Times New Roman" w:eastAsia="Times New Roman"/>
              <w:b w:val="0"/>
              <w:i w:val="0"/>
              <w:sz w:val="26"/>
            </w:rPr>
            <w:t>BỘ CÔNG AN</w:t>
          </w:r>
        </w:p>
      </w:tc>
      <w:tc>
        <w:tcPr>
          <w:tcW w:type="dxa" w:w="5102"/>
          <w:vAlign w:val="center"/>
          <w:tcMar>
            <w:top w:w="0" w:type="dxa"/>
            <w:start w:w="0" w:type="dxa"/>
            <w:bottom w:w="0" w:type="dxa"/>
            <w:end w:w="0" w:type="dxa"/>
          </w:tcMar>
        </w:tcPr>
        <w:p>
          <w:pPr>
            <w:spacing w:after="0" w:line="240" w:lineRule="auto"/>
            <w:jc w:val="center"/>
          </w:pPr>
          <w:r>
            <w:rPr>
              <w:rFonts w:ascii="Times New Roman" w:hAnsi="Times New Roman" w:eastAsia="Times New Roman"/>
              <w:b/>
              <w:i w:val="0"/>
              <w:sz w:val="24"/>
            </w:rPr>
            <w:t>CỘNG HÒA XÃ HỘI CHỦ NGHĨA VIỆT NAM</w:t>
          </w:r>
        </w:p>
      </w:tc>
    </w:tr>
    <w:tr>
      <w:tc>
        <w:tcPr>
          <w:tcW w:type="dxa" w:w="3969"/>
          <w:vAlign w:val="center"/>
          <w:tcMar>
            <w:top w:w="0" w:type="dxa"/>
            <w:start w:w="0" w:type="dxa"/>
            <w:bottom w:w="0" w:type="dxa"/>
            <w:end w:w="0" w:type="dxa"/>
          </w:tcMar>
        </w:tcPr>
        <w:p>
          <w:pPr>
            <w:spacing w:before="20" w:after="0" w:line="240" w:lineRule="auto"/>
            <w:jc w:val="center"/>
          </w:pPr>
          <w:r>
            <w:rPr>
              <w:rFonts w:ascii="Times New Roman" w:hAnsi="Times New Roman" w:eastAsia="Times New Roman"/>
              <w:b/>
              <w:i w:val="0"/>
              <w:sz w:val="24"/>
            </w:rPr>
            <w:t>CỤC CẢNH SÁT QLHC VỀ TTXH</w:t>
          </w:r>
        </w:p>
      </w:tc>
      <w:tc>
        <w:tcPr>
          <w:tcW w:type="dxa" w:w="5102"/>
          <w:vAlign w:val="center"/>
          <w:tcMar>
            <w:top w:w="0" w:type="dxa"/>
            <w:start w:w="0" w:type="dxa"/>
            <w:bottom w:w="0" w:type="dxa"/>
            <w:end w:w="0" w:type="dxa"/>
          </w:tcMar>
        </w:tcPr>
        <w:p>
          <w:pPr>
            <w:spacing w:before="20" w:after="0" w:line="240" w:lineRule="auto"/>
            <w:jc w:val="center"/>
          </w:pPr>
          <w:r>
            <w:rPr>
              <w:rFonts w:ascii="Times New Roman" w:hAnsi="Times New Roman" w:eastAsia="Times New Roman"/>
              <w:b/>
              <w:i w:val="0"/>
              <w:sz w:val="26"/>
            </w:rPr>
            <w:t>Độc lập - Tự do - Hạnh phúc</w:t>
          </w:r>
        </w:p>
      </w:tc>
    </w:tr>
    <w:tr>
      <w:tc>
        <w:tcPr>
          <w:tcW w:type="dxa" w:w="3969"/>
          <w:vAlign w:val="center"/>
          <w:tcMar>
            <w:top w:w="0" w:type="dxa"/>
            <w:start w:w="0" w:type="dxa"/>
            <w:bottom w:w="0" w:type="dxa"/>
            <w:end w:w="0" w:type="dxa"/>
          </w:tcMar>
        </w:tcPr>
        <w:p>
          <w:pPr>
            <w:spacing w:before="0" w:after="0" w:line="240" w:lineRule="auto"/>
            <w:jc w:val="center"/>
          </w:pPr>
          <w:r>
            <w:rPr>
              <w:rFonts w:ascii="Times New Roman" w:hAnsi="Times New Roman" w:eastAsia="Times New Roman"/>
              <w:b w:val="0"/>
              <w:i w:val="0"/>
              <w:sz w:val="16"/>
            </w:rPr>
            <w:t>________________</w:t>
          </w:r>
        </w:p>
      </w:tc>
      <w:tc>
        <w:tcPr>
          <w:tcW w:type="dxa" w:w="5102"/>
          <w:vAlign w:val="center"/>
          <w:tcMar>
            <w:top w:w="0" w:type="dxa"/>
            <w:start w:w="0" w:type="dxa"/>
            <w:bottom w:w="0" w:type="dxa"/>
            <w:end w:w="0" w:type="dxa"/>
          </w:tcMar>
        </w:tcPr>
        <w:p>
          <w:pPr>
            <w:spacing w:before="0" w:after="0" w:line="240" w:lineRule="auto"/>
            <w:jc w:val="center"/>
          </w:pPr>
          <w:r>
            <w:rPr>
              <w:rFonts w:ascii="Times New Roman" w:hAnsi="Times New Roman" w:eastAsia="Times New Roman"/>
              <w:b w:val="0"/>
              <w:i w:val="0"/>
              <w:sz w:val="16"/>
            </w:rPr>
            <w:t>________________</w:t>
          </w:r>
        </w:p>
      </w:tc>
    </w:tr>
  </w:tbl>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40" w:lineRule="auto"/>
      <w:jc w:val="center"/>
    </w:pPr>
    <w:r/>
    <w:r>
      <w:rPr>
        <w:rFonts w:ascii="Times New Roman" w:hAnsi="Times New Roman" w:eastAsia="Times New Roman"/>
        <w:b w:val="0"/>
        <w:i w:val="0"/>
        <w:sz w:val="26"/>
      </w:rPr>
      <w:fldChar w:fldCharType="begin"/>
      <w:instrText xml:space="preserve"> PAGE </w:instrText>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1.png"/><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Tài liệu họp về quản lý nhà nước, định danh và chế tài trên không gian mạng</dc:title>
  <dc:subject>Tài liệu phục vụ họp tháng 8/2026</dc:subject>
  <dc:creator>Cục Cảnh sát QLHC về TTXH</dc:creator>
  <cp:keywords/>
  <dc:description>generated by python-docx</dc:description>
  <cp:lastModifiedBy/>
  <cp:revision>1</cp:revision>
  <dcterms:created xsi:type="dcterms:W3CDTF">2013-12-23T23:15:00Z</dcterms:created>
  <dcterms:modified xsi:type="dcterms:W3CDTF">2013-12-23T23:15:00Z</dcterms:modified>
  <cp:category/>
</cp:coreProperties>
</file>